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718C7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center"/>
        <w:rPr>
          <w:rFonts w:hint="eastAsia" w:ascii="宋体" w:hAnsi="宋体" w:eastAsia="宋体" w:cs="宋体"/>
          <w:b/>
          <w:bCs/>
          <w:i w:val="0"/>
          <w:iCs w:val="0"/>
          <w:caps w:val="0"/>
          <w:color w:val="000000" w:themeColor="text1"/>
          <w:spacing w:val="0"/>
          <w:sz w:val="39"/>
          <w:szCs w:val="39"/>
          <w14:textFill>
            <w14:solidFill>
              <w14:schemeClr w14:val="tx1"/>
            </w14:solidFill>
          </w14:textFill>
        </w:rPr>
      </w:pPr>
      <w:r>
        <w:rPr>
          <w:rFonts w:hint="eastAsia" w:ascii="宋体" w:hAnsi="宋体" w:eastAsia="宋体" w:cs="宋体"/>
          <w:b/>
          <w:bCs/>
          <w:i w:val="0"/>
          <w:iCs w:val="0"/>
          <w:caps w:val="0"/>
          <w:color w:val="000000" w:themeColor="text1"/>
          <w:spacing w:val="0"/>
          <w:sz w:val="39"/>
          <w:szCs w:val="39"/>
          <w:bdr w:val="none" w:color="auto" w:sz="0" w:space="0"/>
          <w:shd w:val="clear" w:fill="FFFFFF"/>
          <w14:textFill>
            <w14:solidFill>
              <w14:schemeClr w14:val="tx1"/>
            </w14:solidFill>
          </w14:textFill>
        </w:rPr>
        <w:t>磋商项目技术、服务、商务及其他要求</w:t>
      </w:r>
    </w:p>
    <w:p w14:paraId="41F0E5B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000000" w:themeColor="text1"/>
          <w:spacing w:val="0"/>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3528327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000000" w:themeColor="text1"/>
          <w:spacing w:val="0"/>
          <w:sz w:val="27"/>
          <w:szCs w:val="27"/>
          <w14:textFill>
            <w14:solidFill>
              <w14:schemeClr w14:val="tx1"/>
            </w14:solidFill>
          </w14:textFill>
        </w:rPr>
      </w:pPr>
      <w:r>
        <w:rPr>
          <w:rFonts w:hint="eastAsia" w:ascii="宋体" w:hAnsi="宋体" w:eastAsia="宋体" w:cs="宋体"/>
          <w:b/>
          <w:bCs/>
          <w:i w:val="0"/>
          <w:iCs w:val="0"/>
          <w:caps w:val="0"/>
          <w:color w:val="000000" w:themeColor="text1"/>
          <w:spacing w:val="0"/>
          <w:sz w:val="27"/>
          <w:szCs w:val="27"/>
          <w:bdr w:val="none" w:color="auto" w:sz="0" w:space="0"/>
          <w:shd w:val="clear" w:fill="FFFFFF"/>
          <w14:textFill>
            <w14:solidFill>
              <w14:schemeClr w14:val="tx1"/>
            </w14:solidFill>
          </w14:textFill>
        </w:rPr>
        <w:t>3.1采购项目概况</w:t>
      </w:r>
    </w:p>
    <w:p w14:paraId="6D8F19D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本项目为涉铁项目，建设内容主要包括道路工程、雨水工程</w:t>
      </w:r>
      <w:bookmarkStart w:id="0" w:name="_GoBack"/>
      <w:bookmarkEnd w:id="0"/>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桥梁工程、交通工程、铁路电力工程、铁路通信工程、铁路电气化工程等，本次采购为草滩四路城市断头路打通工程高铁节点段提供施工图设计，配合并促进采购人完成道路建设目标；各项服务符合国家、省、市（行业）强制性标准及采购人要求的合格标准。</w:t>
      </w:r>
    </w:p>
    <w:p w14:paraId="4CF000F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000000" w:themeColor="text1"/>
          <w:spacing w:val="0"/>
          <w:sz w:val="27"/>
          <w:szCs w:val="27"/>
          <w14:textFill>
            <w14:solidFill>
              <w14:schemeClr w14:val="tx1"/>
            </w14:solidFill>
          </w14:textFill>
        </w:rPr>
      </w:pPr>
      <w:r>
        <w:rPr>
          <w:rFonts w:hint="eastAsia" w:ascii="宋体" w:hAnsi="宋体" w:eastAsia="宋体" w:cs="宋体"/>
          <w:b/>
          <w:bCs/>
          <w:i w:val="0"/>
          <w:iCs w:val="0"/>
          <w:caps w:val="0"/>
          <w:color w:val="000000" w:themeColor="text1"/>
          <w:spacing w:val="0"/>
          <w:sz w:val="27"/>
          <w:szCs w:val="27"/>
          <w:bdr w:val="none" w:color="auto" w:sz="0" w:space="0"/>
          <w:shd w:val="clear" w:fill="FFFFFF"/>
          <w14:textFill>
            <w14:solidFill>
              <w14:schemeClr w14:val="tx1"/>
            </w14:solidFill>
          </w14:textFill>
        </w:rPr>
        <w:t>3.2服务内容及服务要求</w:t>
      </w:r>
    </w:p>
    <w:p w14:paraId="24893C2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000000" w:themeColor="text1"/>
          <w:spacing w:val="0"/>
          <w:sz w:val="24"/>
          <w:szCs w:val="24"/>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3.2.1服务内容</w:t>
      </w:r>
    </w:p>
    <w:p w14:paraId="1DE65F4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采购包1：</w:t>
      </w:r>
    </w:p>
    <w:p w14:paraId="036B592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采购包预算金额（元）: 419,600.00</w:t>
      </w:r>
    </w:p>
    <w:p w14:paraId="4F4004B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采购包最高限价（元）: 419,600.00</w:t>
      </w:r>
    </w:p>
    <w:p w14:paraId="5532328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供应商报价不允许超过标的金额</w:t>
      </w:r>
    </w:p>
    <w:p w14:paraId="1D958B6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（招单价的）供应商报价不允许超过标的单价</w:t>
      </w:r>
    </w:p>
    <w:tbl>
      <w:tblPr>
        <w:tblW w:w="5712" w:type="pct"/>
        <w:tblInd w:w="-374"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927"/>
        <w:gridCol w:w="3051"/>
        <w:gridCol w:w="980"/>
        <w:gridCol w:w="963"/>
        <w:gridCol w:w="481"/>
        <w:gridCol w:w="481"/>
        <w:gridCol w:w="481"/>
        <w:gridCol w:w="481"/>
        <w:gridCol w:w="536"/>
        <w:gridCol w:w="635"/>
        <w:gridCol w:w="747"/>
      </w:tblGrid>
      <w:tr w14:paraId="0D1C89F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92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266DCA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序号</w:t>
            </w:r>
          </w:p>
        </w:tc>
        <w:tc>
          <w:tcPr>
            <w:tcW w:w="30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316FE7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标的名称</w:t>
            </w:r>
          </w:p>
        </w:tc>
        <w:tc>
          <w:tcPr>
            <w:tcW w:w="98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D39536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数量</w:t>
            </w:r>
          </w:p>
        </w:tc>
        <w:tc>
          <w:tcPr>
            <w:tcW w:w="9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C991D5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标的金额 （元）</w:t>
            </w:r>
          </w:p>
        </w:tc>
        <w:tc>
          <w:tcPr>
            <w:tcW w:w="48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14AE28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计量单位</w:t>
            </w:r>
          </w:p>
        </w:tc>
        <w:tc>
          <w:tcPr>
            <w:tcW w:w="48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F2E3C5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所属行业</w:t>
            </w:r>
          </w:p>
        </w:tc>
        <w:tc>
          <w:tcPr>
            <w:tcW w:w="48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CD923E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是否核心产品</w:t>
            </w:r>
          </w:p>
        </w:tc>
        <w:tc>
          <w:tcPr>
            <w:tcW w:w="48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57F2A8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是否允许进口产品</w:t>
            </w:r>
          </w:p>
        </w:tc>
        <w:tc>
          <w:tcPr>
            <w:tcW w:w="5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EC775B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是否属于节能产品</w:t>
            </w:r>
          </w:p>
        </w:tc>
        <w:tc>
          <w:tcPr>
            <w:tcW w:w="63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9F8626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是否属于环境标志产品</w:t>
            </w:r>
          </w:p>
        </w:tc>
        <w:tc>
          <w:tcPr>
            <w:tcW w:w="74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B40187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是否实施本国产品政策</w:t>
            </w:r>
          </w:p>
        </w:tc>
      </w:tr>
      <w:tr w14:paraId="0A9B14E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92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5432BB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1</w:t>
            </w:r>
          </w:p>
        </w:tc>
        <w:tc>
          <w:tcPr>
            <w:tcW w:w="30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8BA7AC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草滩四路城市断头路打通工程（涉铁段）施工图设计</w:t>
            </w:r>
          </w:p>
        </w:tc>
        <w:tc>
          <w:tcPr>
            <w:tcW w:w="98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7A3C24">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1.00</w:t>
            </w:r>
          </w:p>
        </w:tc>
        <w:tc>
          <w:tcPr>
            <w:tcW w:w="9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8DDF3CC">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419,600.00</w:t>
            </w:r>
          </w:p>
        </w:tc>
        <w:tc>
          <w:tcPr>
            <w:tcW w:w="48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473953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项</w:t>
            </w:r>
          </w:p>
        </w:tc>
        <w:tc>
          <w:tcPr>
            <w:tcW w:w="48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79A76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其他未列明行业</w:t>
            </w:r>
          </w:p>
        </w:tc>
        <w:tc>
          <w:tcPr>
            <w:tcW w:w="48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3081767">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否</w:t>
            </w:r>
          </w:p>
        </w:tc>
        <w:tc>
          <w:tcPr>
            <w:tcW w:w="48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BFDEE8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否</w:t>
            </w:r>
          </w:p>
        </w:tc>
        <w:tc>
          <w:tcPr>
            <w:tcW w:w="53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593CCC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否</w:t>
            </w:r>
          </w:p>
        </w:tc>
        <w:tc>
          <w:tcPr>
            <w:tcW w:w="63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F63EE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否</w:t>
            </w:r>
          </w:p>
        </w:tc>
        <w:tc>
          <w:tcPr>
            <w:tcW w:w="74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DF8B26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否</w:t>
            </w:r>
          </w:p>
        </w:tc>
      </w:tr>
    </w:tbl>
    <w:p w14:paraId="1D48BEE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000000" w:themeColor="text1"/>
          <w:spacing w:val="0"/>
          <w:sz w:val="27"/>
          <w:szCs w:val="27"/>
          <w14:textFill>
            <w14:solidFill>
              <w14:schemeClr w14:val="tx1"/>
            </w14:solidFill>
          </w14:textFill>
        </w:rPr>
      </w:pPr>
      <w:r>
        <w:rPr>
          <w:rFonts w:hint="eastAsia" w:ascii="宋体" w:hAnsi="宋体" w:eastAsia="宋体" w:cs="宋体"/>
          <w:b/>
          <w:bCs/>
          <w:i w:val="0"/>
          <w:iCs w:val="0"/>
          <w:caps w:val="0"/>
          <w:color w:val="000000" w:themeColor="text1"/>
          <w:spacing w:val="0"/>
          <w:sz w:val="27"/>
          <w:szCs w:val="27"/>
          <w:bdr w:val="none" w:color="auto" w:sz="0" w:space="0"/>
          <w:shd w:val="clear" w:fill="FFFFFF"/>
          <w14:textFill>
            <w14:solidFill>
              <w14:schemeClr w14:val="tx1"/>
            </w14:solidFill>
          </w14:textFill>
        </w:rPr>
        <w:t>3.2.2服务要求</w:t>
      </w:r>
    </w:p>
    <w:p w14:paraId="10B610B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采购包1：</w:t>
      </w:r>
    </w:p>
    <w:p w14:paraId="0BB116E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标的名称：草滩四路城市断头路打通工程（涉铁段）施工图设计</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20"/>
        <w:gridCol w:w="1221"/>
        <w:gridCol w:w="6105"/>
      </w:tblGrid>
      <w:tr w14:paraId="47F5DC5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190B66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CF2537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参数性质</w:t>
            </w:r>
          </w:p>
        </w:tc>
        <w:tc>
          <w:tcPr>
            <w:tcW w:w="2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96386E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技术参数与性能指标</w:t>
            </w:r>
          </w:p>
        </w:tc>
      </w:tr>
      <w:tr w14:paraId="25EEC51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0695E96">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A7044FA">
            <w:pP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981607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ascii="仿宋" w:hAnsi="仿宋" w:eastAsia="仿宋" w:cs="仿宋"/>
                <w:color w:val="000000" w:themeColor="text1"/>
                <w:sz w:val="24"/>
                <w:szCs w:val="24"/>
                <w:bdr w:val="none" w:color="auto" w:sz="0" w:space="0"/>
                <w14:textFill>
                  <w14:solidFill>
                    <w14:schemeClr w14:val="tx1"/>
                  </w14:solidFill>
                </w14:textFill>
              </w:rPr>
              <w:t>1.工程主要概况：（1）道路工程：新建机动车道面积约2049平方米，新建人行道面积394平方米；挖方4456立方米、地基注浆加固593立方米、新建箱涵南北侧顺接挡墙160米。</w:t>
            </w:r>
          </w:p>
          <w:p w14:paraId="51BC81E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（2）雨水工程：D1000既有雨水管道迁改，新建工作井和接收井各1座。</w:t>
            </w:r>
          </w:p>
          <w:p w14:paraId="3F922EE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（3）桥梁工程：桥梁排水、栏杆改造163米；新建电力防护涵81.5 平方米。</w:t>
            </w:r>
          </w:p>
          <w:p w14:paraId="4424A52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（4）交通工程：限高架2套。</w:t>
            </w:r>
          </w:p>
          <w:p w14:paraId="6311D6B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（5）铁路电力工程：箱式变电站拆除还建1座，其他配套电缆迁移防护。</w:t>
            </w:r>
          </w:p>
          <w:p w14:paraId="05D56F7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（6）铁路通信工程：通信光缆迁移防护15000米。</w:t>
            </w:r>
          </w:p>
          <w:p w14:paraId="00F3B40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（7）铁路信号工程：既有4根信号道岔融雪电缆防护。</w:t>
            </w:r>
          </w:p>
          <w:p w14:paraId="1165A10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（8）铁路电气化工程：西宝高铁【211#、212#、213#、214#】中间地段采用电缆改架空线迁改8874米；两端进牵引变电所和上桥在路基地段采用高压电缆钢筋混凝土电缆管涵内敷设2880米。</w:t>
            </w:r>
          </w:p>
          <w:p w14:paraId="40B858D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2.服务内容(包含但不限于)：（1）编制施工图设计方案及文本说明。</w:t>
            </w:r>
          </w:p>
          <w:p w14:paraId="2D2F9D9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（2）编制施工图设计图纸。</w:t>
            </w:r>
          </w:p>
          <w:p w14:paraId="0A0A14A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（3）审查项目过程资料(说明、图纸、材料表、数据等)及成果资料的汇编整理。</w:t>
            </w:r>
          </w:p>
          <w:p w14:paraId="10361CF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（4）根据项目实际情况提出合理化建议。</w:t>
            </w:r>
          </w:p>
          <w:p w14:paraId="5B2AA81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（5）项目实施期间有关其他配合的服务。</w:t>
            </w:r>
          </w:p>
          <w:p w14:paraId="48B3A3B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3.技术规范包括但不限于：</w:t>
            </w:r>
          </w:p>
          <w:p w14:paraId="2C23BE1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（1）《公路与市政工程下穿高速铁路技术规程》TB10182-2017；</w:t>
            </w:r>
          </w:p>
          <w:p w14:paraId="37D7481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（2）《公路铁路交叉路段技术要求》JT/T1311-2020；</w:t>
            </w:r>
          </w:p>
          <w:p w14:paraId="60C0DD5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（3）《中华人民共和国铁路法》2015年修正；</w:t>
            </w:r>
          </w:p>
          <w:p w14:paraId="660801B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（4）《铁路安全管理条例》中华人民共和国国务院639号令；</w:t>
            </w:r>
          </w:p>
          <w:p w14:paraId="769AE1A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（5）《铁路技术管理规程》TG/01-2014；</w:t>
            </w:r>
          </w:p>
          <w:p w14:paraId="2C0DAC2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（6）《铁路工程建设标准局部修订条文汇编》（第二版）；</w:t>
            </w:r>
          </w:p>
          <w:p w14:paraId="61D962E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（7）《工程建设强制性条文》（铁路工程部分）；</w:t>
            </w:r>
          </w:p>
          <w:p w14:paraId="458FF7F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（8）《铁路建设工程风险管理技术规范》Q/CR9006-2014；</w:t>
            </w:r>
          </w:p>
          <w:p w14:paraId="1535C71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（9）《标准轨距铁路建筑限界》GB146.2-2020；</w:t>
            </w:r>
          </w:p>
          <w:p w14:paraId="5A1C8AA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（10）《铁路工程环境保护设计规范》TB10501-2016；</w:t>
            </w:r>
          </w:p>
          <w:p w14:paraId="6FF78F9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（11）《铁路桥涵工程施工安全技术规程》TB10303-2020；</w:t>
            </w:r>
          </w:p>
          <w:p w14:paraId="51F68DC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（12）《铁路桥涵地基和基础设计规范》TB10093-2017；</w:t>
            </w:r>
          </w:p>
          <w:p w14:paraId="77B3D91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（13）《铁路桥涵设计规范》TB10002-2017；</w:t>
            </w:r>
          </w:p>
          <w:p w14:paraId="058444F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（14）《铁路桥涵混凝土结构设计规范》TB10092-2017；</w:t>
            </w:r>
          </w:p>
          <w:p w14:paraId="1C08F91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（15）《铁路混凝土结构耐久性设计规范》（TB10005-2010）；</w:t>
            </w:r>
          </w:p>
          <w:p w14:paraId="1F020DD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（16）《铁路工程设计防火规范》（TB10063-2016)（2026年局部修订）；</w:t>
            </w:r>
          </w:p>
          <w:p w14:paraId="35F1FEC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（17）《高速铁路设计规范》（TB10621-2014）；</w:t>
            </w:r>
          </w:p>
          <w:p w14:paraId="120570A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（18）《国铁集团工电部关于加强穿（跨）越铁路营业线和邻近营业线工程</w:t>
            </w:r>
          </w:p>
          <w:p w14:paraId="6C96799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方案等审查和施工安全管理的通知》（工电桥房函〔2020〕48号）；</w:t>
            </w:r>
          </w:p>
          <w:p w14:paraId="099B45C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（19）《关于公铁立交和公铁并行路段护栏建设与维护管理相关问题的通</w:t>
            </w:r>
          </w:p>
          <w:p w14:paraId="00304FC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知》铁运〔2012〕139号；</w:t>
            </w:r>
          </w:p>
          <w:p w14:paraId="1468933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（20）《西安局集团公司涉铁工程建设管理办法》（西铁科信〔2024〕178号）</w:t>
            </w:r>
          </w:p>
          <w:p w14:paraId="7460DEF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《陕西省铁路安全管理办法》（陕西省人民政府令第227号）；</w:t>
            </w:r>
          </w:p>
          <w:p w14:paraId="5AA7986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（21）《国铁集团工电部关于开展跨越铁路的道路立交桥设置路灯杆等情况</w:t>
            </w:r>
          </w:p>
          <w:p w14:paraId="688568E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排查及加快道路立交桥移交工作的通知》（工电桥房电〔2020〕12号）；</w:t>
            </w:r>
          </w:p>
          <w:p w14:paraId="2EEB7CC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（22）《城市道路交通工程项目规范》（GB55011-2021）；</w:t>
            </w:r>
          </w:p>
          <w:p w14:paraId="71278D9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（23）《城市道路工程设计规范》（CJJ37-2012）（2016年版）；</w:t>
            </w:r>
          </w:p>
          <w:p w14:paraId="5848A46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（24）《城镇道路路面设计规范》（CJJ169-2012）；</w:t>
            </w:r>
          </w:p>
          <w:p w14:paraId="23E3A04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（25）《城市道路交叉口设计规程》（CJJ152-2010）</w:t>
            </w:r>
          </w:p>
          <w:p w14:paraId="10D8CF7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（26）《城乡排水工程项目规范》（GB55027-2022）；</w:t>
            </w:r>
          </w:p>
          <w:p w14:paraId="25F99B3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（27）其他相关规标准。</w:t>
            </w:r>
          </w:p>
          <w:p w14:paraId="14C5B65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4.设计原则：采取技术合理、经济合算、实施可靠、针对性强的方案措施，科学严谨地设计出不低于我市基础设施平均水平的施工图设计方案(文本说明、图纸、材料、数据等)，保证道路建设流程和步骤符合标准、正常实施。</w:t>
            </w:r>
          </w:p>
          <w:p w14:paraId="0B7F312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5.进度要求：采取科学有效的针对措施将项目实施进度控制在采购人所要求的合理时间节点内。。</w:t>
            </w:r>
          </w:p>
          <w:p w14:paraId="67BD536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6.成果要求：（1）成果内容应完整真实、科学严谨、思路清晰、具有代表性，综合考虑道路建设的功能和潜力，提出建设实施详细规划和可行性优化方案，符合新形势、新变化、新发展下道路建设。</w:t>
            </w:r>
          </w:p>
          <w:p w14:paraId="70C2E3A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2）成果文件包括：图纸和其他技术资料，并提供装有全部设计资料等，所有成果初稿完成后应按采购人提出的审查意见和修改意见进行修改，直至获得有关主管部门审批通过，本项目所完成的编制成果的所有权、知识产权归采购人。</w:t>
            </w:r>
          </w:p>
          <w:p w14:paraId="2A98DE1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（3）所有提供资料包括：①纸质成果印刷一份；②电子成果为与纸质成果相对应的电子文档（pdf格式）。</w:t>
            </w:r>
          </w:p>
          <w:p w14:paraId="533D7DB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left"/>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7.服务要求：（1）供应商须指派专属人员与采购人联系服务事宜，服务响应时间应根据采购人实际安排随时调整。</w:t>
            </w:r>
          </w:p>
          <w:p w14:paraId="3B9B73D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left"/>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2）供应商需根据项目要求及特性自行编制服务思路(不限于对服务范围、依据、技术规范、重点难点等的理解与分析)、管理方案(不限于制度、职责及分工、规范等方案的制定与安排)、实施方案(不限于思路、方法、节点控制、目标等的执行与实施)、质量控制（不限于检查、修改、审核、验收等标准和方法制定和实施）、造价控制、后续服务(考核或检查)及有利于采购人的合理化建议等全面立体化的方案措施。</w:t>
            </w:r>
          </w:p>
          <w:p w14:paraId="789416F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left"/>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（3）服务过程中，严格遵守各种管理规定及规章制度，做到奉公守法、诚实守信、廉洁自律、安全文明；服务过程中如发生工伤及意外事故由服务单位负责。</w:t>
            </w:r>
          </w:p>
          <w:p w14:paraId="58C5399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left"/>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（4）供应商拟投入的服务人员对于在工作中获悉的一切政府工作的信息应严格保守秘密，不得泄露；对于违反者，给采购人单位造成不良社会影响的，或给采购人单位造成损失的，由供应商承担赔偿责任。</w:t>
            </w:r>
          </w:p>
          <w:p w14:paraId="0F88F49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left"/>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（5）严格按照国家、陕西省、西安市有关规定及采购人要求进行服务，不得随意更改或者变换服务内容，每项服务内容实施前应事先取得采购人的落实后方可实施。</w:t>
            </w:r>
          </w:p>
          <w:p w14:paraId="181B678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left"/>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（6）配合促进采购人安排的其他相关工作。</w:t>
            </w:r>
          </w:p>
          <w:p w14:paraId="2305FDA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8.服务标准：（1）各项服务符合国家、省、市（行业）强制性标准及采购人要求的合格标准。</w:t>
            </w:r>
          </w:p>
          <w:p w14:paraId="3148DF4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color w:val="000000" w:themeColor="text1"/>
                <w:sz w:val="18"/>
                <w:szCs w:val="18"/>
                <w14:textFill>
                  <w14:solidFill>
                    <w14:schemeClr w14:val="tx1"/>
                  </w14:solidFill>
                </w14:textFill>
              </w:rPr>
            </w:pPr>
            <w:r>
              <w:rPr>
                <w:rFonts w:hint="eastAsia" w:ascii="仿宋" w:hAnsi="仿宋" w:eastAsia="仿宋" w:cs="仿宋"/>
                <w:color w:val="000000" w:themeColor="text1"/>
                <w:sz w:val="24"/>
                <w:szCs w:val="24"/>
                <w:bdr w:val="none" w:color="auto" w:sz="0" w:space="0"/>
                <w14:textFill>
                  <w14:solidFill>
                    <w14:schemeClr w14:val="tx1"/>
                  </w14:solidFill>
                </w14:textFill>
              </w:rPr>
              <w:t>（2）服务、产品（如有）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tc>
      </w:tr>
    </w:tbl>
    <w:p w14:paraId="7239CB4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000000" w:themeColor="text1"/>
          <w:spacing w:val="0"/>
          <w:sz w:val="27"/>
          <w:szCs w:val="27"/>
          <w14:textFill>
            <w14:solidFill>
              <w14:schemeClr w14:val="tx1"/>
            </w14:solidFill>
          </w14:textFill>
        </w:rPr>
      </w:pPr>
      <w:r>
        <w:rPr>
          <w:rFonts w:hint="eastAsia" w:ascii="宋体" w:hAnsi="宋体" w:eastAsia="宋体" w:cs="宋体"/>
          <w:b/>
          <w:bCs/>
          <w:i w:val="0"/>
          <w:iCs w:val="0"/>
          <w:caps w:val="0"/>
          <w:color w:val="000000" w:themeColor="text1"/>
          <w:spacing w:val="0"/>
          <w:sz w:val="27"/>
          <w:szCs w:val="27"/>
          <w:bdr w:val="none" w:color="auto" w:sz="0" w:space="0"/>
          <w:shd w:val="clear" w:fill="FFFFFF"/>
          <w14:textFill>
            <w14:solidFill>
              <w14:schemeClr w14:val="tx1"/>
            </w14:solidFill>
          </w14:textFill>
        </w:rPr>
        <w:t>3.2.3人员配置要求</w:t>
      </w:r>
    </w:p>
    <w:p w14:paraId="4828B7D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采购包1：供应商根据服务要求及特性，自行配置履行合同所必需的专业服务团队(不限于项目负责人、管理人员、技术人员、设计人员、编制人员、辅助人员等)，自行组织实施与管理，相关人员经过严格培训，具有相关工作经验，技术水平高、能够胜任项目工作。服务队伍稳定，保证整个项目顺利完成，中标(成交)供应商未经采购人同意，不得擅自更换本项目在响应文件中指定的服务队伍。</w:t>
      </w:r>
    </w:p>
    <w:p w14:paraId="0805F59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000000" w:themeColor="text1"/>
          <w:spacing w:val="0"/>
          <w:sz w:val="27"/>
          <w:szCs w:val="27"/>
          <w14:textFill>
            <w14:solidFill>
              <w14:schemeClr w14:val="tx1"/>
            </w14:solidFill>
          </w14:textFill>
        </w:rPr>
      </w:pPr>
      <w:r>
        <w:rPr>
          <w:rFonts w:hint="eastAsia" w:ascii="宋体" w:hAnsi="宋体" w:eastAsia="宋体" w:cs="宋体"/>
          <w:b/>
          <w:bCs/>
          <w:i w:val="0"/>
          <w:iCs w:val="0"/>
          <w:caps w:val="0"/>
          <w:color w:val="000000" w:themeColor="text1"/>
          <w:spacing w:val="0"/>
          <w:sz w:val="27"/>
          <w:szCs w:val="27"/>
          <w:bdr w:val="none" w:color="auto" w:sz="0" w:space="0"/>
          <w:shd w:val="clear" w:fill="FFFFFF"/>
          <w14:textFill>
            <w14:solidFill>
              <w14:schemeClr w14:val="tx1"/>
            </w14:solidFill>
          </w14:textFill>
        </w:rPr>
        <w:t>3.2.4设施设备要求</w:t>
      </w:r>
    </w:p>
    <w:p w14:paraId="2127D2A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采购包1：供应商根据项目特性及要求，自行配置投入履行合同所必需的各类设施设备(不限于专业设备、辅助设备、工具、软件等)，保证项目顺利实施。</w:t>
      </w:r>
    </w:p>
    <w:p w14:paraId="3D9BBAF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000000" w:themeColor="text1"/>
          <w:spacing w:val="0"/>
          <w:sz w:val="27"/>
          <w:szCs w:val="27"/>
          <w14:textFill>
            <w14:solidFill>
              <w14:schemeClr w14:val="tx1"/>
            </w14:solidFill>
          </w14:textFill>
        </w:rPr>
      </w:pPr>
      <w:r>
        <w:rPr>
          <w:rFonts w:hint="eastAsia" w:ascii="宋体" w:hAnsi="宋体" w:eastAsia="宋体" w:cs="宋体"/>
          <w:b/>
          <w:bCs/>
          <w:i w:val="0"/>
          <w:iCs w:val="0"/>
          <w:caps w:val="0"/>
          <w:color w:val="000000" w:themeColor="text1"/>
          <w:spacing w:val="0"/>
          <w:sz w:val="27"/>
          <w:szCs w:val="27"/>
          <w:bdr w:val="none" w:color="auto" w:sz="0" w:space="0"/>
          <w:shd w:val="clear" w:fill="FFFFFF"/>
          <w14:textFill>
            <w14:solidFill>
              <w14:schemeClr w14:val="tx1"/>
            </w14:solidFill>
          </w14:textFill>
        </w:rPr>
        <w:t>3.2.5其他要求</w:t>
      </w:r>
    </w:p>
    <w:p w14:paraId="5085E77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采购包1：（一）本项目按总价进行报价。供应商的响应报价是供应商响应磋商项目要求的全部工作内容的价格体现，包括供应商完成本项目所需的直接费用、间接费、利润、税金及其它相关的一切费用，包括但不限于：设计费、人工费、设备使用费、资料费、管理费、评审费、利润、税金及不可预见费等全部费用；在提供服务的过程中的任何遗漏，均由中标(成交)供应商免费提供，采购人将不再支付任何费用。 （二）本项目标的所属行业为： 其他未列明行业 （从业人员300人以下的为中小微型企业。其中，从业人员100人及以上的为中型企业；从业人员10人及以上的为小型企业；从业人员10人以下的为微型企业）。</w:t>
      </w:r>
    </w:p>
    <w:p w14:paraId="486EE06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000000" w:themeColor="text1"/>
          <w:spacing w:val="0"/>
          <w:sz w:val="27"/>
          <w:szCs w:val="27"/>
          <w14:textFill>
            <w14:solidFill>
              <w14:schemeClr w14:val="tx1"/>
            </w14:solidFill>
          </w14:textFill>
        </w:rPr>
      </w:pPr>
      <w:r>
        <w:rPr>
          <w:rFonts w:hint="eastAsia" w:ascii="宋体" w:hAnsi="宋体" w:eastAsia="宋体" w:cs="宋体"/>
          <w:b/>
          <w:bCs/>
          <w:i w:val="0"/>
          <w:iCs w:val="0"/>
          <w:caps w:val="0"/>
          <w:color w:val="000000" w:themeColor="text1"/>
          <w:spacing w:val="0"/>
          <w:sz w:val="27"/>
          <w:szCs w:val="27"/>
          <w:bdr w:val="none" w:color="auto" w:sz="0" w:space="0"/>
          <w:shd w:val="clear" w:fill="FFFFFF"/>
          <w14:textFill>
            <w14:solidFill>
              <w14:schemeClr w14:val="tx1"/>
            </w14:solidFill>
          </w14:textFill>
        </w:rPr>
        <w:t>3.3商务要求</w:t>
      </w:r>
    </w:p>
    <w:p w14:paraId="6123A75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000000" w:themeColor="text1"/>
          <w:spacing w:val="0"/>
          <w:sz w:val="24"/>
          <w:szCs w:val="24"/>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3.3.1服务期限</w:t>
      </w:r>
    </w:p>
    <w:p w14:paraId="2A69030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采购包1：自合同签订生效之日起30日历天</w:t>
      </w:r>
    </w:p>
    <w:p w14:paraId="5D81233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000000" w:themeColor="text1"/>
          <w:spacing w:val="0"/>
          <w:sz w:val="24"/>
          <w:szCs w:val="24"/>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3.3.2服务地点</w:t>
      </w:r>
    </w:p>
    <w:p w14:paraId="2CD5AEF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采购包1：西安市未央区住房和城市建设局(具体按采购人指定地点)</w:t>
      </w:r>
    </w:p>
    <w:p w14:paraId="7EF546A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000000" w:themeColor="text1"/>
          <w:spacing w:val="0"/>
          <w:sz w:val="24"/>
          <w:szCs w:val="24"/>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3.3.3考核（验收）标准和方法</w:t>
      </w:r>
    </w:p>
    <w:p w14:paraId="4A6DCAF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采购包1：</w:t>
      </w:r>
    </w:p>
    <w:p w14:paraId="20E92B2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现行的国家标准或国家行政部门颁布的法律法规、规章制度等，是项目验收的另一个重要依据。没有国家标准的，可以参考行业标准。采购人根据磋商文件、响应文件、合同等相关文件，进行验收，确认服务内容、服务标准和服务方式等是否达到采购要求。中标(成交)供应商须接受采购人对相关服务的各类考核或检查；若服务结果验收不通过或质量不符合采购要求，中标(成交)供应商应在一定期限内以采购人要求的标准进行整改或完善，并再次进行考核或检查，若中标(成交)供应商在接受检查整改后最终仍未按要求提供符合要求的服务，采购人有权按违约予以撤项，由此产生的一切责任和费用均由中标(成交)供应商承担，具体按拟签订采购合同相关条款执行</w:t>
      </w:r>
    </w:p>
    <w:p w14:paraId="0FBBE5A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000000" w:themeColor="text1"/>
          <w:spacing w:val="0"/>
          <w:sz w:val="24"/>
          <w:szCs w:val="24"/>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3.3.4支付方式</w:t>
      </w:r>
    </w:p>
    <w:p w14:paraId="3660348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采购包1：分期付款</w:t>
      </w:r>
    </w:p>
    <w:p w14:paraId="662A341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000000" w:themeColor="text1"/>
          <w:spacing w:val="0"/>
          <w:sz w:val="24"/>
          <w:szCs w:val="24"/>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3.3.5支付约定</w:t>
      </w:r>
    </w:p>
    <w:p w14:paraId="6DBCCDB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lang w:eastAsia="zh-CN"/>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采购包1：1、 其他，合同签订后，中标(成交)供应商提供经图审合格后的施工图设计成果(付款前中标(成交)供应商应出具等值发票交至采购人，采购人以银行转账方式支付)后，达到付款条件起10个工作日内，支付合同总金额的80.0%</w:t>
      </w:r>
      <w:r>
        <w:rPr>
          <w:rFonts w:hint="eastAsia" w:ascii="宋体" w:hAnsi="宋体" w:eastAsia="宋体" w:cs="宋体"/>
          <w:i w:val="0"/>
          <w:iCs w:val="0"/>
          <w:caps w:val="0"/>
          <w:color w:val="000000" w:themeColor="text1"/>
          <w:spacing w:val="0"/>
          <w:sz w:val="18"/>
          <w:szCs w:val="18"/>
          <w:bdr w:val="none" w:color="auto" w:sz="0" w:space="0"/>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2、 其他，工程竣工验收完成(付款前中标(成交)供应商应出具等值发票交至采购人，采购人以银行转账方式支付，其他具体按拟定合同相关条款执行)后，达到付款条件起10个工作日内，支付合同总金额的20.0%</w:t>
      </w:r>
      <w:r>
        <w:rPr>
          <w:rFonts w:hint="eastAsia" w:ascii="宋体" w:hAnsi="宋体" w:eastAsia="宋体" w:cs="宋体"/>
          <w:i w:val="0"/>
          <w:iCs w:val="0"/>
          <w:caps w:val="0"/>
          <w:color w:val="000000" w:themeColor="text1"/>
          <w:spacing w:val="0"/>
          <w:sz w:val="18"/>
          <w:szCs w:val="18"/>
          <w:bdr w:val="none" w:color="auto" w:sz="0" w:space="0"/>
          <w:shd w:val="clear" w:fill="FFFFFF"/>
          <w:lang w:eastAsia="zh-CN"/>
          <w14:textFill>
            <w14:solidFill>
              <w14:schemeClr w14:val="tx1"/>
            </w14:solidFill>
          </w14:textFill>
        </w:rPr>
        <w:t>。</w:t>
      </w:r>
    </w:p>
    <w:p w14:paraId="5C38D49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000000" w:themeColor="text1"/>
          <w:spacing w:val="0"/>
          <w:sz w:val="24"/>
          <w:szCs w:val="24"/>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3.3.6违约责任及解决争议的方法</w:t>
      </w:r>
    </w:p>
    <w:p w14:paraId="50C6617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采购包1：具体按拟签订采购合同相关条款执行</w:t>
      </w:r>
    </w:p>
    <w:p w14:paraId="608C3E4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000000" w:themeColor="text1"/>
          <w:spacing w:val="0"/>
          <w:sz w:val="27"/>
          <w:szCs w:val="27"/>
          <w14:textFill>
            <w14:solidFill>
              <w14:schemeClr w14:val="tx1"/>
            </w14:solidFill>
          </w14:textFill>
        </w:rPr>
      </w:pPr>
      <w:r>
        <w:rPr>
          <w:rFonts w:hint="eastAsia" w:ascii="宋体" w:hAnsi="宋体" w:eastAsia="宋体" w:cs="宋体"/>
          <w:b/>
          <w:bCs/>
          <w:i w:val="0"/>
          <w:iCs w:val="0"/>
          <w:caps w:val="0"/>
          <w:color w:val="000000" w:themeColor="text1"/>
          <w:spacing w:val="0"/>
          <w:sz w:val="27"/>
          <w:szCs w:val="27"/>
          <w:bdr w:val="none" w:color="auto" w:sz="0" w:space="0"/>
          <w:shd w:val="clear" w:fill="FFFFFF"/>
          <w14:textFill>
            <w14:solidFill>
              <w14:schemeClr w14:val="tx1"/>
            </w14:solidFill>
          </w14:textFill>
        </w:rPr>
        <w:t>3.4其他要求</w:t>
      </w:r>
    </w:p>
    <w:p w14:paraId="12A6EEB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(一)磋商有效期： 1.出现特殊情况需要延长磋商有效期的，采购代理机构或采购人可于磋商有效期满之前，以书面形式通知所有供应商延长磋商有效期。 2.在磋商有效期内，供应商撤销响应文件的，应承担磋商文件和法律规定的责任。 3.成交供应商的磋商有效期自动延长至合同终止为止。 (二)合格供应商少于3家的处理： 1.评审过程中，若出现合格供应商只有2家时，符合《政府采购竞争性磋商采购方式管理暂行办法》第3条第4项情形的，或者本项目为政府购买服务指导性目录中的，可以继续进行；只有1家时，采购人应依法重新组织采购活动。 2.评审过程中，除符合第1条条款规定情形外，若出现合格供应商少于3家时，采购人应依法重新组织采购活动。 (三)分公司独立参与磋商时，不能使用总公司的资质或业绩；总公司授权分公司或分支机构参与磋商，可以使用总公司的资质或业绩。总公司单独参与磋商时，可以使用分公司的业绩，在相关资质证书的管理要求和适用范围内可以使用分公司资质。 (四)供应商的电子响应文件中的所有文字资料、图纸、数据、方案、证书、检测报告等响应内容应清晰可辨，表达意思统一，便于查找，供应商自行承担资料模糊不清、无法辨认的不利后果。 (五)文件中签名是指：手写签名或加盖签名章（含电子章、印章、签名章），盖章是指加盖单位公章（含电子章）。 (六)恶意质疑、投诉的法律后果：1.对捏造事实、提供虚假材料进行质疑、投诉的行为将予以严肃处理：《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2.对捏造事实诬告陷害他人、诽谤他人的法律适用：（1）《中华人民共和国刑法》第243条【诬告陷害罪】捏造事实诬告陷害他人，意图使他人受到刑事追究，情节严重的，处三年以下有期徒刑、拘役或者管制；造成严重后果的，处三年以上十年以下有期徒刑。（2）《中华人民共和国刑法》第246条【侮辱罪、诽谤罪】以暴力或者其他方法公然侮辱他人或者捏造事实诽谤他人，情节严重的，处三年以下有期徒刑、拘役、管制或者剥夺政治权利。 (七)参与本项目的供应商应通过陕西省政府采购综合管理平台的项目电子化交易系统在线实施报名、获取采购文件、响应、报价等操作，供应商无需现场提供纸质响应文件。但在中标(成交)后，中标(成交)供应商在领取中标(成交)通知书时应提供纸质响应文件两套(自定单双面、黑白/彩色、并胶装)用于备案，纸质响应文件须与项目电子化交易系统中的最终版电子响应文件内容保持一致，不允许修改和补充。中标(成交)通知书领取地址：西安市雁塔区雁翔路111号赛格·中京坊公寓A1(6幢1)单元2层招标一部。</w:t>
      </w:r>
    </w:p>
    <w:p w14:paraId="727C74D8">
      <w:pPr>
        <w:rPr>
          <w:color w:val="000000" w:themeColor="text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5546C7"/>
    <w:rsid w:val="075546C7"/>
    <w:rsid w:val="1E7D50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1</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2026-08-13T06:03:00Z</dcterms:created>
  <dc:creator>杜航</dc:creator>
  <cp:lastModifiedBy>杜航</cp:lastModifiedBy>
  <dcterms:modified xsi:type="dcterms:W3CDTF">2026-08-13T06:05:15Z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D44CAFD7F83A45F89445B69A4F82B632_11</vt:lpwstr>
  </property>
  <property fmtid="{D5CDD505-2E9C-101B-9397-08002B2CF9AE}" pid="4" name="KSOTemplateDocerSaveRecord">
    <vt:lpwstr>eyJoZGlkIjoiNGVjNGI1ZWQxMDUyODY5ZDAxOTAyNjljNjE1NWUwNGQiLCJ1c2VySWQiOiIzMDgwODY2MDYifQ==</vt:lpwstr>
  </property>
</Properties>
</file>