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版本号：ZYX-2026-00920260723002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东西校区运动草坪更换，西校区中教学楼内卫生间改造及东校区主电路电缆更换等工程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ZYX-2026-009</w:t>
      </w:r>
      <w:r>
        <w:br/>
      </w:r>
      <w:r>
        <w:br/>
      </w:r>
      <w:r>
        <w:br/>
      </w:r>
    </w:p>
    <w:p>
      <w:pPr>
        <w:pStyle w:val="null3"/>
        <w:jc w:val="center"/>
        <w:outlineLvl w:val="2"/>
      </w:pPr>
      <w:r>
        <w:rPr>
          <w:rFonts w:ascii="仿宋_GB2312" w:hAnsi="仿宋_GB2312" w:cs="仿宋_GB2312" w:eastAsia="仿宋_GB2312"/>
          <w:sz w:val="28"/>
          <w:b/>
        </w:rPr>
        <w:t>洋县南街小学</w:t>
      </w:r>
    </w:p>
    <w:p>
      <w:pPr>
        <w:pStyle w:val="null3"/>
        <w:jc w:val="center"/>
        <w:outlineLvl w:val="2"/>
      </w:pPr>
      <w:r>
        <w:rPr>
          <w:rFonts w:ascii="仿宋_GB2312" w:hAnsi="仿宋_GB2312" w:cs="仿宋_GB2312" w:eastAsia="仿宋_GB2312"/>
          <w:sz w:val="28"/>
          <w:b/>
        </w:rPr>
        <w:t>中禹鑫工程项目管理有限公司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中禹鑫工程项目管理有限公司</w:t>
      </w:r>
      <w:r>
        <w:rPr>
          <w:rFonts w:ascii="仿宋_GB2312" w:hAnsi="仿宋_GB2312" w:cs="仿宋_GB2312" w:eastAsia="仿宋_GB2312"/>
        </w:rPr>
        <w:t>（以下简称“代理机构”）受</w:t>
      </w:r>
      <w:r>
        <w:rPr>
          <w:rFonts w:ascii="仿宋_GB2312" w:hAnsi="仿宋_GB2312" w:cs="仿宋_GB2312" w:eastAsia="仿宋_GB2312"/>
        </w:rPr>
        <w:t>洋县南街小学</w:t>
      </w:r>
      <w:r>
        <w:rPr>
          <w:rFonts w:ascii="仿宋_GB2312" w:hAnsi="仿宋_GB2312" w:cs="仿宋_GB2312" w:eastAsia="仿宋_GB2312"/>
        </w:rPr>
        <w:t>委托，拟对</w:t>
      </w:r>
      <w:r>
        <w:rPr>
          <w:rFonts w:ascii="仿宋_GB2312" w:hAnsi="仿宋_GB2312" w:cs="仿宋_GB2312" w:eastAsia="仿宋_GB2312"/>
        </w:rPr>
        <w:t>东西校区运动草坪更换，西校区中教学楼内卫生间改造及东校区主电路电缆更换等工程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ZYX-2026-009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东西校区运动草坪更换，西校区中教学楼内卫生间改造及东校区主电路电缆更换等工程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东西校区运动草坪更换，西校区中教学楼内卫生间改造及东校区主电路电缆更换等；详见磋商文件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采购包1（东西校区运动草坪更换，西校区中教学楼内卫生间改造及东校区主电路电缆更换等工程）：属于专门面向中小企业采购。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pPr>
        <w:pStyle w:val="null3"/>
      </w:pPr>
      <w:r>
        <w:rPr>
          <w:rFonts w:ascii="仿宋_GB2312" w:hAnsi="仿宋_GB2312" w:cs="仿宋_GB2312" w:eastAsia="仿宋_GB2312"/>
        </w:rPr>
        <w:t>3、资质要求：供应商须具备建设行政主管部门核发的建筑工程施工总承包三级（含三级）及以上资质，具有有效的安全生产许可证;（材料应清晰可辨并进行电子签章）</w:t>
      </w:r>
    </w:p>
    <w:p>
      <w:pPr>
        <w:pStyle w:val="null3"/>
      </w:pPr>
      <w:r>
        <w:rPr>
          <w:rFonts w:ascii="仿宋_GB2312" w:hAnsi="仿宋_GB2312" w:cs="仿宋_GB2312" w:eastAsia="仿宋_GB2312"/>
        </w:rPr>
        <w:t>4、项目经理：拟派项目经理须具备建筑工程专业二级（含二级）及以上注册建造师资格，并具有行业主管部门核发的安全生产考核合格B证，且无在建项目(出具无在建承诺书）;（材料应清晰可辨并进行电子签章）</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洋县南街小学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洋县南大街101号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18091606765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中禹鑫工程项目管理有限公司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陕西省汉中市洋县北环西路60号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123300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17392314555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采购包1：984,331.46元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开户名称：中禹鑫工程项目管理有限公司</w:t>
            </w:r>
          </w:p>
          <w:p>
            <w:pPr>
              <w:pStyle w:val="null3"/>
            </w:pPr>
            <w:r>
              <w:rPr>
                <w:rFonts w:ascii="仿宋_GB2312" w:hAnsi="仿宋_GB2312" w:cs="仿宋_GB2312" w:eastAsia="仿宋_GB2312"/>
              </w:rPr>
              <w:t>开户银行：兴业银行宁德分行营业部</w:t>
            </w:r>
          </w:p>
          <w:p>
            <w:pPr>
              <w:pStyle w:val="null3"/>
            </w:pPr>
            <w:r>
              <w:rPr>
                <w:rFonts w:ascii="仿宋_GB2312" w:hAnsi="仿宋_GB2312" w:cs="仿宋_GB2312" w:eastAsia="仿宋_GB2312"/>
              </w:rPr>
              <w:t>银行账号：131010100100288337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洋县南街小学</w:t>
      </w:r>
      <w:r>
        <w:rPr>
          <w:rFonts w:ascii="仿宋_GB2312" w:hAnsi="仿宋_GB2312" w:cs="仿宋_GB2312" w:eastAsia="仿宋_GB2312"/>
        </w:rPr>
        <w:t>和</w:t>
      </w:r>
      <w:r>
        <w:rPr>
          <w:rFonts w:ascii="仿宋_GB2312" w:hAnsi="仿宋_GB2312" w:cs="仿宋_GB2312" w:eastAsia="仿宋_GB2312"/>
        </w:rPr>
        <w:t>中禹鑫工程项目管理有限公司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洋县南街小学</w:t>
      </w:r>
      <w:r>
        <w:rPr>
          <w:rFonts w:ascii="仿宋_GB2312" w:hAnsi="仿宋_GB2312" w:cs="仿宋_GB2312" w:eastAsia="仿宋_GB2312"/>
        </w:rPr>
        <w:t>负责解释。除上述磋商文件内容，其他内容由</w:t>
      </w:r>
      <w:r>
        <w:rPr>
          <w:rFonts w:ascii="仿宋_GB2312" w:hAnsi="仿宋_GB2312" w:cs="仿宋_GB2312" w:eastAsia="仿宋_GB2312"/>
        </w:rPr>
        <w:t>中禹鑫工程项目管理有限公司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洋县南街小学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中禹鑫工程项目管理有限公司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质量达到国家现行行业合格标准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中禹鑫工程项目管理有限公司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中禹鑫工程项目管理有限公司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中禹鑫工程项目管理有限公司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联系电话：15029667841</w:t>
      </w:r>
    </w:p>
    <w:p>
      <w:pPr>
        <w:pStyle w:val="null3"/>
      </w:pPr>
      <w:r>
        <w:rPr>
          <w:rFonts w:ascii="仿宋_GB2312" w:hAnsi="仿宋_GB2312" w:cs="仿宋_GB2312" w:eastAsia="仿宋_GB2312"/>
        </w:rPr>
        <w:t>地址：陕西省汉中市北环西路60号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984,331.46</w:t>
      </w:r>
    </w:p>
    <w:p>
      <w:pPr>
        <w:pStyle w:val="null3"/>
      </w:pPr>
      <w:r>
        <w:rPr>
          <w:rFonts w:ascii="仿宋_GB2312" w:hAnsi="仿宋_GB2312" w:cs="仿宋_GB2312" w:eastAsia="仿宋_GB2312"/>
        </w:rPr>
        <w:t>采购包最高限价（元）: 984,331.46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东西校区运动草坪更换，西校区中教学楼内卫生间改造及东校区主电路电缆更换</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984,331.46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标的名称：东西校区运动草坪更换，西校区中教学楼内卫生间改造及东校区主电路电缆更换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1.施工工期：30日历天</w:t>
            </w:r>
          </w:p>
          <w:p>
            <w:pPr>
              <w:pStyle w:val="null3"/>
            </w:pPr>
            <w:r>
              <w:rPr>
                <w:rFonts w:ascii="仿宋_GB2312" w:hAnsi="仿宋_GB2312" w:cs="仿宋_GB2312" w:eastAsia="仿宋_GB2312"/>
              </w:rPr>
              <w:t>2.质量目标：达到验收合格标准</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rPr>
              <w:t>4.合同履约地点：采购人指定地点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需在工程完工支付工程款前提交3%的质量保证金（具体按合同约定执行）；2、成交供应商在采购结果发布后3个工作日内向代理机构提交纸质版响应文件以便于存档，响应文件正本1份，副本1份，电子版文件1份(以U盘为载体，PDF格式)。线下递交地点:陕西省汉中市洋县北环西路60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磋商保证金缴纳凭证或担保机构出具的保函正本.docx 技术服务合同条款及其他商务要求应答表 响应函 施工组织设计.docx 汉中市政府采购供应商资格承诺函.docx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供应商须具备建设行政主管部门核发的建筑工程施工总承包三级（含三级）及以上资质，具有有效的安全生产许可证;（材料应清晰可辨并进行电子签章）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拟派项目经理须具备建筑工程专业二级（含二级）及以上注册建造师资格，并具有行业主管部门核发的安全生产考核合格B证，且无在建项目(出具无在建承诺书）;（材料应清晰可辨并进行电子签章）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已标价工程量清单 中小企业声明函 磋商保证金缴纳凭证或担保机构出具的保函正本.docx 技术服务合同条款及其他商务要求应答表 供应商应提交的相关资格证明材料 汉中市政府采购供应商资格承诺函.docx 施工组织设计.docx 响应文件封面 项目管理机构组成表 报价函 标的清单 供应商类似项目业绩一览表 响应函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按照磋商文件要求提交保证金。</w:t>
            </w:r>
          </w:p>
        </w:tc>
        <w:tc>
          <w:tcPr>
            <w:tcW w:type="dxa" w:w="1661"/>
          </w:tcPr>
          <w:p>
            <w:pPr>
              <w:pStyle w:val="null3"/>
            </w:pPr>
            <w:r>
              <w:rPr>
                <w:rFonts w:ascii="仿宋_GB2312" w:hAnsi="仿宋_GB2312" w:cs="仿宋_GB2312" w:eastAsia="仿宋_GB2312"/>
              </w:rPr>
              <w:t>磋商保证金缴纳凭证或担保机构出具的保函正本.docx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供应商近3年内承接过同类工程业绩，每提供一份得2分，最高得4分；注：业绩需提供成交通知书或协议书（合同）复印件证明材料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工期承诺</w:t>
            </w:r>
          </w:p>
        </w:tc>
        <w:tc>
          <w:tcPr>
            <w:tcW w:type="dxa" w:w="2492"/>
          </w:tcPr>
          <w:p>
            <w:pPr>
              <w:pStyle w:val="null3"/>
            </w:pPr>
            <w:r>
              <w:rPr>
                <w:rFonts w:ascii="仿宋_GB2312" w:hAnsi="仿宋_GB2312" w:cs="仿宋_GB2312" w:eastAsia="仿宋_GB2312"/>
              </w:rPr>
              <w:t>供应商在满足磋商文件要求履约期限（30日历天）的前提下，每提前1个日历天加0.5分，本项总分 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项目部人员配备</w:t>
            </w:r>
          </w:p>
        </w:tc>
        <w:tc>
          <w:tcPr>
            <w:tcW w:type="dxa" w:w="2492"/>
          </w:tcPr>
          <w:p>
            <w:pPr>
              <w:pStyle w:val="null3"/>
            </w:pPr>
            <w:r>
              <w:rPr>
                <w:rFonts w:ascii="仿宋_GB2312" w:hAnsi="仿宋_GB2312" w:cs="仿宋_GB2312" w:eastAsia="仿宋_GB2312"/>
              </w:rPr>
              <w:t>本项满分14分，依据供应商提供的人员证书、在岗承诺书资料客观逐项打分，具体标准如下： 1、拟派项目经理（4分）：①具有工程类高级职称，得2分；具有工程类中级职称得1分，中级以下职称不得分。评审依据：提供职称证扫描件或复印件并加盖公章。②提供自2023年1月1日至今（以合同签订时间为准）的项目经理业绩，每提供一份业绩证明得2分，最多得2分。评审依据：提供合同扫描件或复印件并加盖公章，合同中项目经理名称须清晰可见；（项目经理业绩可以与企业业绩重复计分。）2、关键岗位人员持证情况（不含项目经理）（6分）：配备技术负责人、施工员、安全员、质量员、资料员、材料员等施工现场关键岗位人员，提供有效执业资格证书或上岗证书并加盖公章。，每提供1名合格持证人员得1分，本项最高得6分；证件过期、证件无效、人员重复报送、岗位缺失均不计分。3、人员在岗履职承诺（4分）：提供书面在岗履职承诺书，承诺本项目所有配备管理人员、岗位人员全程在岗、常驻施工现场，未经建设单位（监理单位）书面同意，不擅自离岗、脱岗、更换项目人员的，得4分；未提供承诺书或承诺书内容不全、不符合要求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针对本项目编制完善的施工方案，内容包含但不限于：①项目总体概况表述；②施工方法（工艺）；③施工次序；④施工准备：技术准备、材料准备、机械准备、劳动力准备等；⑤工程重难点及解决措施（重点针对草坪铺设、水电改造、卫生间翻新施工难点制定专项措施）。二、评审标准：1、完整性：方案必须全面，对评审内容中的各项要求有详细描述；2、针对性：方案能够紧扣项目施工内容，贴合校园施工场景，内容科学合理。三、赋分标准（满分10分）：①项目总体概况表述：每完全满足一个评审标准得1分，满分2分；②施工方法（工艺）：每完全满足一个评审标准得1分，满分2分；③施工次序：每完全满足一个评审标准得1分，满分2分；④施工准备：每完全满足一个评审标准得1分，满分2分；⑤工程重难点及解决措施：每完全满足一个评审标准得1分，满分2分；四、未提供者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进度计划及工期保障措施</w:t>
            </w:r>
          </w:p>
        </w:tc>
        <w:tc>
          <w:tcPr>
            <w:tcW w:type="dxa" w:w="2492"/>
          </w:tcPr>
          <w:p>
            <w:pPr>
              <w:pStyle w:val="null3"/>
            </w:pPr>
            <w:r>
              <w:rPr>
                <w:rFonts w:ascii="仿宋_GB2312" w:hAnsi="仿宋_GB2312" w:cs="仿宋_GB2312" w:eastAsia="仿宋_GB2312"/>
              </w:rPr>
              <w:t>一、评审内容：供应商结合本项目工程紧、任务重的核心要求，编制专项施工进度计划及工期保障方案，内容包含但不限于：①整体施工工期规划、各分项工程工期目标及关键节点安排；②施工进度网络图或施工进度表；③进度保障措施；④雨期、高温期、校园施工等特殊情况的工期赶工、延误补救保障措施；二、评审标准：1、完整性：方案必须全面，对评审内容中的各项要求有详细描述；2、针对性：方案能够紧扣项目实际情况，内容科学合理。。三、赋分标准（满分10分）：①整体工期及分项节点规划：每完全满足一个评审标准得1分，满分2分；②施工进度图表：每完全满足一个评审标准得1分，满分2分；③进度保障措施：每完全满足一个评审标准得1.5分，满分3分；④特殊工况工期保障及赶工措施：每完全满足一个评审标准得1.5分，满分3分；四、未提供者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草坪更换、卫生间翻新、电路电缆更换各分项工程，编制完善的质量保证措施，内容包含但不限于：①质量管理工作流程；②工程质量保证方案；③工程质量控制体系；④各施工阶段质量管理措施。二、评审标准：1、完整性：方案必须全面，覆盖所有施工分项，对评审内容中的各项要求有详细描述；；2、针对性：紧扣校园改造工程标准，内容科学合理、符合行业规范。三、赋分标准（满分8分）：①质量管理工作流程：每完全满足一个评审标准得1分，满分2分；②工程质量保证方案：每完全满足一个评审标准得1分，满分2分；③工程质量控制体系：每完全满足一个评审标准得1分，满分2分；④各施工阶段质量管理措施：每完全满足一个评审标准得1分，满分2分；四、未提供者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供应商结合本项目施工内容编制完善的安全保证措施，内容包含但不限于：①安全生产管理制度；②草坪、水电、装修施工专项安全保证措施；③校园施工安全施工应急预案。二、评审标准：1、完整性：方案必须全面，对评审内容中的各项要求有详细描述；2、针对性：紧扣本项目施工内容及校园安全管理要求，方案科学合理。三、赋分标准（满分6分）：①安全生产管理制度：每完全满足一个评审标准得1分，满分2分；②专项安全保证措施：每完全满足一个评审标准得1分，满分2分；③安全施工应急预案：每完全满足一个评审标准得1分，满分2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一、评审内容：针对施工场景，编制完善的文明施工和环境保护措施，内容包含但不限于：①校园文明施工保证措施；②环境保护控制措施：施工垃圾、废弃物处理排放、施工噪音控制、草坪施工防尘及扬尘控制措施。二、评审标准：1、完整性：方案必须全面，对评审内容中的各项要求有详细描述；2、可实施性：贴合校园环境特点，措施落地性强；3、针对性：紧扣校园改造施工需求，内容科学合理。三、赋分标准（满分6分）：①文明施工保证措施：每完全满足一个评审标准得1分，满分3分；②环境保护控制措施：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工期紧张、多工序并行施工需求，编制完善的资源配置计划，内容包含但不限于：①充足的劳动力资源配置计划；②满足项目需求的主要施工机械设备及主要材料配置计划，保障施工不间断。二、评审标准：1、完整性：方案必须全面，对评审内容中的各项要求有详细描述；2、可实施性：资源配置充足、匹配施工进度，可保障按期完工；3、针对性：紧扣项目施工内容及工期压力，配置方案科学合理。三、赋分标准（满分6分）：①劳动力资源配置计划：每完全满足一个评审标准得1分，满分3分；②主要施工机械设备及主要材料配置计划：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校园改造实际，供应商依据国家相关规定，针对运动草坪、卫生间设施、电路电缆等施工内容编制专项保修方案，内容包含但不限于：①各分项工程维修措施和保修责任；②保修服务承诺、售后响应时效承诺。二、评审标准：1.完整性：内容必须全面，覆盖所有施工分项，对评审内容中的各项要求有详细描述；2.针对性：紧扣校园使用场景，保修方案科学合理、售后保障到位。三、赋分标准（满分4分）：①维修措施和保修责任：每完全满足一个评审标准得1分，满分2分；②保修承诺：每完全满足一个评审标准得1分，满分2分；四、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详见附件：磋商保证金缴纳凭证或担保机构出具的保函正本.docx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