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版本号：KFZB202608200120260820001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西安市临潼区2026年西泉街道坡底村村内道路提升改造项目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KFZB2026082001</w:t>
      </w:r>
      <w:r>
        <w:br/>
      </w:r>
      <w:r>
        <w:br/>
      </w:r>
      <w:r>
        <w:br/>
      </w:r>
    </w:p>
    <w:p>
      <w:pPr>
        <w:pStyle w:val="null3"/>
        <w:jc w:val="center"/>
        <w:outlineLvl w:val="2"/>
      </w:pPr>
      <w:r>
        <w:rPr>
          <w:rFonts w:ascii="仿宋_GB2312" w:hAnsi="仿宋_GB2312" w:cs="仿宋_GB2312" w:eastAsia="仿宋_GB2312"/>
          <w:sz w:val="28"/>
          <w:b/>
        </w:rPr>
        <w:t>临潼区西泉街道办事处</w:t>
      </w:r>
    </w:p>
    <w:p>
      <w:pPr>
        <w:pStyle w:val="null3"/>
        <w:jc w:val="center"/>
        <w:outlineLvl w:val="2"/>
      </w:pPr>
      <w:r>
        <w:rPr>
          <w:rFonts w:ascii="仿宋_GB2312" w:hAnsi="仿宋_GB2312" w:cs="仿宋_GB2312" w:eastAsia="仿宋_GB2312"/>
          <w:sz w:val="28"/>
          <w:b/>
        </w:rPr>
        <w:t>陕西康丰建设项目管理有限公司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陕西康丰建设项目管理有限公司</w:t>
      </w:r>
      <w:r>
        <w:rPr>
          <w:rFonts w:ascii="仿宋_GB2312" w:hAnsi="仿宋_GB2312" w:cs="仿宋_GB2312" w:eastAsia="仿宋_GB2312"/>
        </w:rPr>
        <w:t>（以下简称“代理机构”）受</w:t>
      </w:r>
      <w:r>
        <w:rPr>
          <w:rFonts w:ascii="仿宋_GB2312" w:hAnsi="仿宋_GB2312" w:cs="仿宋_GB2312" w:eastAsia="仿宋_GB2312"/>
        </w:rPr>
        <w:t>临潼区西泉街道办事处</w:t>
      </w:r>
      <w:r>
        <w:rPr>
          <w:rFonts w:ascii="仿宋_GB2312" w:hAnsi="仿宋_GB2312" w:cs="仿宋_GB2312" w:eastAsia="仿宋_GB2312"/>
        </w:rPr>
        <w:t>委托，拟对</w:t>
      </w:r>
      <w:r>
        <w:rPr>
          <w:rFonts w:ascii="仿宋_GB2312" w:hAnsi="仿宋_GB2312" w:cs="仿宋_GB2312" w:eastAsia="仿宋_GB2312"/>
        </w:rPr>
        <w:t>西安市临潼区2026年西泉街道坡底村村内道路提升改造项目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KFZB2026082001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西安市临潼区2026年西泉街道坡底村村内道路提升改造项目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道路黑化6405平方米，修建排水1899米等基础设施配套，总投资约150万元，详见磋商文件、施工图纸及工程量清单。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采购包1（西安市临潼区2026年西泉街道坡底村村内道路提升改造项目）：属于专门面向中小企业采购。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1、营业执照：企业法人具有有效的营业执照（具备统一社会信用代码）；事业法人应具有有效的事业单位法人证；其他组织应具有合法证明文件；自然人应提供有效的自然人身份证明；</w:t>
      </w:r>
    </w:p>
    <w:p>
      <w:pPr>
        <w:pStyle w:val="null3"/>
      </w:pPr>
      <w:r>
        <w:rPr>
          <w:rFonts w:ascii="仿宋_GB2312" w:hAnsi="仿宋_GB2312" w:cs="仿宋_GB2312" w:eastAsia="仿宋_GB2312"/>
        </w:rPr>
        <w:t>2、基本资格条件承诺函或相关资格证明文件：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如不提供《基本资格条件承诺函》的供应商需提交以下资格证明文件： ①财务状况报告：提供2025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 ②税收缴纳证明：提供投标截止时间前6个月内任意一个月的纳税证明或完税证明，依法免税的单位应提供相关证明材料； ③社会保障资金缴纳证明：提供投标截止时间前6个月内任意一个月的社会保障资金缴存单据或社保机构开具的社会保险参保缴费情况证明，依法不需要缴纳社会保障资金的单位应提供相关证明材料； ④履行合同所必需的设备和专业技术能力的书面声明； ⑤参加政府采购活动前三年内，在经营活动中没有重大违法记录的书面声明； ⑥供应商不得为“信用中国”网站（www.creditchina.gov.cn）中列入失信被执行人（即中国执行信息公开网http://zxgk.court.gov.cn）和重大税收违法失信主体的供应商，不得为中国政府采购网（www.ccgp.gov.cn）政府采购严重违法失信行为记录名单中被财政部门禁止参加政府采购活动的供应商（提供报名截止时间后的网页查询结果截图）；</w:t>
      </w:r>
    </w:p>
    <w:p>
      <w:pPr>
        <w:pStyle w:val="null3"/>
      </w:pPr>
      <w:r>
        <w:rPr>
          <w:rFonts w:ascii="仿宋_GB2312" w:hAnsi="仿宋_GB2312" w:cs="仿宋_GB2312" w:eastAsia="仿宋_GB2312"/>
        </w:rPr>
        <w:t>3、法定代表人授权委托书：供应商代表应提供法定代表人授权委托书（附法定代表人及被授权人身份证复印件或扫描件），法定代表人直接参加投标须提供法定代表人身份证明书及身份证复印件或扫描件；</w:t>
      </w:r>
    </w:p>
    <w:p>
      <w:pPr>
        <w:pStyle w:val="null3"/>
      </w:pPr>
      <w:r>
        <w:rPr>
          <w:rFonts w:ascii="仿宋_GB2312" w:hAnsi="仿宋_GB2312" w:cs="仿宋_GB2312" w:eastAsia="仿宋_GB2312"/>
        </w:rPr>
        <w:t>4、供应商资质：供应商须具备建设行政主管部门颁发的市政公用工程施工总承包三级(含三级)以上资质，并具有有效的安全生产许可证；</w:t>
      </w:r>
    </w:p>
    <w:p>
      <w:pPr>
        <w:pStyle w:val="null3"/>
      </w:pPr>
      <w:r>
        <w:rPr>
          <w:rFonts w:ascii="仿宋_GB2312" w:hAnsi="仿宋_GB2312" w:cs="仿宋_GB2312" w:eastAsia="仿宋_GB2312"/>
        </w:rPr>
        <w:t>5、项目经理：拟派项目经理须具备市政公用工程专业二级(含二级)及以上注册建造师证书，具有有效的安全生产考核合格证书（安B），且在本单位注册，无在建工程；（提供无在建工程承诺书）；</w:t>
      </w:r>
    </w:p>
    <w:p>
      <w:pPr>
        <w:pStyle w:val="null3"/>
      </w:pPr>
      <w:r>
        <w:rPr>
          <w:rFonts w:ascii="仿宋_GB2312" w:hAnsi="仿宋_GB2312" w:cs="仿宋_GB2312" w:eastAsia="仿宋_GB2312"/>
        </w:rPr>
        <w:t>6、本项目不接受联合体投标：本项目不接受联合体投标。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临潼区西泉街道办事处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陕西省西安市临潼区西泉街道西泉村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13720400062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陕西康丰建设项目管理有限公司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陕西省西安市临潼区陕西省西安市临潼区西关正街铁一处小区6号楼1单元北侧一楼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田元香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17791292671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发改委“计价格[2002]1980号文”“发改办价格(2003)857号文”和“发改价格[2011]534号《国家发展和改革委员会关于降低部分建设项目收费标准规范收费行为等有关问题的通知》”差额定率累进法计算收取代理报酬。代理报酬不足5000元的按5000元计取。 2、工程造价咨询费以中标价为基数参照“陕价行发(2014)88号文《关于我省工程造价咨询服务收费管理有关问题的通知》”差额定率累进法计算收取代理报酬。工程造价咨询服务收费额低于2000元时，按2000元收费。 3、招标代理服务费、工程造价咨询费等由中标人支付，在《中标通知书》发出前，由中标人采用现金、转账或汇款方式一次性支付给采购代理机构。 招标代理服务费、工程造价咨询费等指定银行账户 户 名：陕西康丰建设项目管理有限公司 开户行：中国工商银行股份有限公司西安临潼区支行 账 号：3700029209200068450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临潼区西泉街道办事处</w:t>
      </w:r>
      <w:r>
        <w:rPr>
          <w:rFonts w:ascii="仿宋_GB2312" w:hAnsi="仿宋_GB2312" w:cs="仿宋_GB2312" w:eastAsia="仿宋_GB2312"/>
        </w:rPr>
        <w:t>和</w:t>
      </w:r>
      <w:r>
        <w:rPr>
          <w:rFonts w:ascii="仿宋_GB2312" w:hAnsi="仿宋_GB2312" w:cs="仿宋_GB2312" w:eastAsia="仿宋_GB2312"/>
        </w:rPr>
        <w:t>陕西康丰建设项目管理有限公司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临潼区西泉街道办事处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陕西康丰建设项目管理有限公司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临潼区西泉街道办事处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陕西康丰建设项目管理有限公司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符合国家、省、市、行业标准及采购人要求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陕西康丰建设项目管理有限公司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联系人：田元香</w:t>
      </w:r>
    </w:p>
    <w:p>
      <w:pPr>
        <w:pStyle w:val="null3"/>
      </w:pPr>
      <w:r>
        <w:rPr>
          <w:rFonts w:ascii="仿宋_GB2312" w:hAnsi="仿宋_GB2312" w:cs="仿宋_GB2312" w:eastAsia="仿宋_GB2312"/>
        </w:rPr>
        <w:t>联系电话：17791292671</w:t>
      </w:r>
    </w:p>
    <w:p>
      <w:pPr>
        <w:pStyle w:val="null3"/>
      </w:pPr>
      <w:r>
        <w:rPr>
          <w:rFonts w:ascii="仿宋_GB2312" w:hAnsi="仿宋_GB2312" w:cs="仿宋_GB2312" w:eastAsia="仿宋_GB2312"/>
        </w:rPr>
        <w:t>地址：陕西省西安市临潼区西关正街铁一处小区6号楼1单元北侧一楼</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西安市临潼区2026年西泉街道坡底村村内道路提升改造项目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标的名称：西安市临潼区2026年西泉街道坡底村村内道路提升改造项目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360"/>
            </w:pPr>
            <w:r>
              <w:rPr>
                <w:rFonts w:ascii="仿宋_GB2312" w:hAnsi="仿宋_GB2312" w:cs="仿宋_GB2312" w:eastAsia="仿宋_GB2312"/>
                <w:sz w:val="24"/>
              </w:rPr>
              <w:t>项目名称：西安市临潼区</w:t>
            </w:r>
            <w:r>
              <w:rPr>
                <w:rFonts w:ascii="仿宋_GB2312" w:hAnsi="仿宋_GB2312" w:cs="仿宋_GB2312" w:eastAsia="仿宋_GB2312"/>
                <w:sz w:val="24"/>
              </w:rPr>
              <w:t>2026年西泉街道坡底村村内道路提升改造项目。</w:t>
            </w:r>
          </w:p>
          <w:p>
            <w:pPr>
              <w:pStyle w:val="null3"/>
              <w:ind w:firstLine="360"/>
              <w:jc w:val="left"/>
            </w:pPr>
            <w:r>
              <w:rPr>
                <w:rFonts w:ascii="仿宋_GB2312" w:hAnsi="仿宋_GB2312" w:cs="仿宋_GB2312" w:eastAsia="仿宋_GB2312"/>
                <w:sz w:val="24"/>
              </w:rPr>
              <w:t>工程内容：</w:t>
            </w:r>
            <w:r>
              <w:rPr>
                <w:rFonts w:ascii="仿宋_GB2312" w:hAnsi="仿宋_GB2312" w:cs="仿宋_GB2312" w:eastAsia="仿宋_GB2312"/>
                <w:sz w:val="24"/>
              </w:rPr>
              <w:t>道路黑化</w:t>
            </w:r>
            <w:r>
              <w:rPr>
                <w:rFonts w:ascii="仿宋_GB2312" w:hAnsi="仿宋_GB2312" w:cs="仿宋_GB2312" w:eastAsia="仿宋_GB2312"/>
                <w:sz w:val="24"/>
              </w:rPr>
              <w:t>6405平方米，修建排水1899米等基础设施配套，总投资约150万元，详见磋商文件、施工图纸及工程量清单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二、主要建设内容和施工地点、计划工期、质量标准</w:t>
            </w:r>
          </w:p>
          <w:p>
            <w:pPr>
              <w:pStyle w:val="null3"/>
              <w:ind w:firstLine="361"/>
              <w:jc w:val="both"/>
            </w:pPr>
            <w:r>
              <w:rPr>
                <w:rFonts w:ascii="仿宋_GB2312" w:hAnsi="仿宋_GB2312" w:cs="仿宋_GB2312" w:eastAsia="仿宋_GB2312"/>
                <w:sz w:val="24"/>
                <w:b/>
              </w:rPr>
              <w:t>（一）主要建设</w:t>
            </w:r>
            <w:r>
              <w:rPr>
                <w:rFonts w:ascii="仿宋_GB2312" w:hAnsi="仿宋_GB2312" w:cs="仿宋_GB2312" w:eastAsia="仿宋_GB2312"/>
                <w:sz w:val="24"/>
                <w:b/>
              </w:rPr>
              <w:t>内容</w:t>
            </w:r>
            <w:r>
              <w:rPr>
                <w:rFonts w:ascii="仿宋_GB2312" w:hAnsi="仿宋_GB2312" w:cs="仿宋_GB2312" w:eastAsia="仿宋_GB2312"/>
                <w:sz w:val="24"/>
                <w:b/>
              </w:rPr>
              <w:t>：</w:t>
            </w:r>
            <w:r>
              <w:rPr>
                <w:rFonts w:ascii="仿宋_GB2312" w:hAnsi="仿宋_GB2312" w:cs="仿宋_GB2312" w:eastAsia="仿宋_GB2312"/>
                <w:sz w:val="24"/>
              </w:rPr>
              <w:t>道路黑化</w:t>
            </w:r>
            <w:r>
              <w:rPr>
                <w:rFonts w:ascii="仿宋_GB2312" w:hAnsi="仿宋_GB2312" w:cs="仿宋_GB2312" w:eastAsia="仿宋_GB2312"/>
                <w:sz w:val="24"/>
              </w:rPr>
              <w:t>6405平方米，修建排水1899米等基础设施配套，总投资约150万元，详见磋商文件、施工图纸及工程量清单</w:t>
            </w:r>
            <w:r>
              <w:rPr>
                <w:rFonts w:ascii="仿宋_GB2312" w:hAnsi="仿宋_GB2312" w:cs="仿宋_GB2312" w:eastAsia="仿宋_GB2312"/>
                <w:sz w:val="24"/>
              </w:rPr>
              <w:t>。</w:t>
            </w:r>
          </w:p>
          <w:p>
            <w:pPr>
              <w:pStyle w:val="null3"/>
              <w:ind w:firstLine="361"/>
              <w:jc w:val="both"/>
            </w:pPr>
            <w:r>
              <w:rPr>
                <w:rFonts w:ascii="仿宋_GB2312" w:hAnsi="仿宋_GB2312" w:cs="仿宋_GB2312" w:eastAsia="仿宋_GB2312"/>
                <w:sz w:val="24"/>
                <w:b/>
              </w:rPr>
              <w:t>（二）施工地点：</w:t>
            </w:r>
            <w:r>
              <w:rPr>
                <w:rFonts w:ascii="仿宋_GB2312" w:hAnsi="仿宋_GB2312" w:cs="仿宋_GB2312" w:eastAsia="仿宋_GB2312"/>
                <w:sz w:val="24"/>
              </w:rPr>
              <w:t>该</w:t>
            </w:r>
            <w:r>
              <w:rPr>
                <w:rFonts w:ascii="仿宋_GB2312" w:hAnsi="仿宋_GB2312" w:cs="仿宋_GB2312" w:eastAsia="仿宋_GB2312"/>
                <w:sz w:val="24"/>
              </w:rPr>
              <w:t>项目</w:t>
            </w:r>
            <w:r>
              <w:rPr>
                <w:rFonts w:ascii="仿宋_GB2312" w:hAnsi="仿宋_GB2312" w:cs="仿宋_GB2312" w:eastAsia="仿宋_GB2312"/>
                <w:sz w:val="24"/>
              </w:rPr>
              <w:t>位于</w:t>
            </w:r>
            <w:r>
              <w:rPr>
                <w:rFonts w:ascii="仿宋_GB2312" w:hAnsi="仿宋_GB2312" w:cs="仿宋_GB2312" w:eastAsia="仿宋_GB2312"/>
                <w:sz w:val="24"/>
              </w:rPr>
              <w:t>西安市临潼区</w:t>
            </w:r>
            <w:r>
              <w:rPr>
                <w:rFonts w:ascii="仿宋_GB2312" w:hAnsi="仿宋_GB2312" w:cs="仿宋_GB2312" w:eastAsia="仿宋_GB2312"/>
                <w:sz w:val="24"/>
              </w:rPr>
              <w:t>西泉街道坡底村。</w:t>
            </w:r>
          </w:p>
          <w:p>
            <w:pPr>
              <w:pStyle w:val="null3"/>
              <w:ind w:firstLine="361"/>
              <w:jc w:val="both"/>
            </w:pPr>
            <w:r>
              <w:rPr>
                <w:rFonts w:ascii="仿宋_GB2312" w:hAnsi="仿宋_GB2312" w:cs="仿宋_GB2312" w:eastAsia="仿宋_GB2312"/>
                <w:sz w:val="24"/>
                <w:b/>
              </w:rPr>
              <w:t>（三）计划工</w:t>
            </w:r>
            <w:r>
              <w:rPr>
                <w:rFonts w:ascii="仿宋_GB2312" w:hAnsi="仿宋_GB2312" w:cs="仿宋_GB2312" w:eastAsia="仿宋_GB2312"/>
                <w:sz w:val="24"/>
                <w:b/>
              </w:rPr>
              <w:t>期：</w:t>
            </w:r>
            <w:r>
              <w:rPr>
                <w:rFonts w:ascii="仿宋_GB2312" w:hAnsi="仿宋_GB2312" w:cs="仿宋_GB2312" w:eastAsia="仿宋_GB2312"/>
                <w:sz w:val="24"/>
              </w:rPr>
              <w:t>45日历天</w:t>
            </w:r>
            <w:r>
              <w:rPr>
                <w:rFonts w:ascii="仿宋_GB2312" w:hAnsi="仿宋_GB2312" w:cs="仿宋_GB2312" w:eastAsia="仿宋_GB2312"/>
                <w:sz w:val="24"/>
              </w:rPr>
              <w:t>。</w:t>
            </w:r>
          </w:p>
          <w:p>
            <w:pPr>
              <w:pStyle w:val="null3"/>
              <w:ind w:firstLine="361"/>
              <w:jc w:val="both"/>
            </w:pPr>
            <w:r>
              <w:rPr>
                <w:rFonts w:ascii="仿宋_GB2312" w:hAnsi="仿宋_GB2312" w:cs="仿宋_GB2312" w:eastAsia="仿宋_GB2312"/>
                <w:sz w:val="24"/>
                <w:b/>
              </w:rPr>
              <w:t>（四）质量标准：</w:t>
            </w:r>
            <w:r>
              <w:rPr>
                <w:rFonts w:ascii="仿宋_GB2312" w:hAnsi="仿宋_GB2312" w:cs="仿宋_GB2312" w:eastAsia="仿宋_GB2312"/>
                <w:sz w:val="24"/>
              </w:rPr>
              <w:t>达到国家现行施工质量验收规范</w:t>
            </w:r>
            <w:r>
              <w:rPr>
                <w:rFonts w:ascii="仿宋_GB2312" w:hAnsi="仿宋_GB2312" w:cs="仿宋_GB2312" w:eastAsia="仿宋_GB2312"/>
                <w:sz w:val="24"/>
              </w:rPr>
              <w:t>“合格”标准。</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工程量清单</w:t>
            </w:r>
          </w:p>
          <w:p>
            <w:pPr>
              <w:pStyle w:val="null3"/>
              <w:ind w:firstLine="720"/>
              <w:jc w:val="both"/>
            </w:pPr>
            <w:r>
              <w:rPr>
                <w:rFonts w:ascii="仿宋_GB2312" w:hAnsi="仿宋_GB2312" w:cs="仿宋_GB2312" w:eastAsia="仿宋_GB2312"/>
                <w:sz w:val="24"/>
              </w:rPr>
              <w:t>详见工程量清单。</w:t>
            </w:r>
          </w:p>
          <w:p>
            <w:pPr>
              <w:pStyle w:val="null3"/>
              <w:jc w:val="both"/>
            </w:pPr>
            <w:r>
              <w:rPr>
                <w:rFonts w:ascii="仿宋_GB2312" w:hAnsi="仿宋_GB2312" w:cs="仿宋_GB2312" w:eastAsia="仿宋_GB2312"/>
                <w:sz w:val="24"/>
                <w:b/>
              </w:rPr>
              <w:t>四、商务要求</w:t>
            </w:r>
          </w:p>
          <w:p>
            <w:pPr>
              <w:pStyle w:val="null3"/>
              <w:ind w:firstLine="360"/>
              <w:jc w:val="both"/>
            </w:pPr>
            <w:r>
              <w:rPr>
                <w:rFonts w:ascii="仿宋_GB2312" w:hAnsi="仿宋_GB2312" w:cs="仿宋_GB2312" w:eastAsia="仿宋_GB2312"/>
                <w:sz w:val="24"/>
              </w:rPr>
              <w:t>1、工期：</w:t>
            </w:r>
            <w:r>
              <w:rPr>
                <w:rFonts w:ascii="仿宋_GB2312" w:hAnsi="仿宋_GB2312" w:cs="仿宋_GB2312" w:eastAsia="仿宋_GB2312"/>
                <w:sz w:val="24"/>
              </w:rPr>
              <w:t>45日历天</w:t>
            </w:r>
          </w:p>
          <w:p>
            <w:pPr>
              <w:pStyle w:val="null3"/>
              <w:ind w:firstLine="360"/>
              <w:jc w:val="both"/>
            </w:pPr>
            <w:r>
              <w:rPr>
                <w:rFonts w:ascii="仿宋_GB2312" w:hAnsi="仿宋_GB2312" w:cs="仿宋_GB2312" w:eastAsia="仿宋_GB2312"/>
                <w:sz w:val="24"/>
              </w:rPr>
              <w:t>2、合同款项的结算：本工程为政府投资类项目，待区财政资金拨付后，项目竣工验收合格且保洁、清场后支付合同总金额的97%；其余3%作为保修金；质保期满无质量问题，发包人14天内无息退还剩余保修金。</w:t>
            </w:r>
          </w:p>
          <w:p>
            <w:pPr>
              <w:pStyle w:val="null3"/>
            </w:pPr>
            <w:r>
              <w:rPr>
                <w:rFonts w:ascii="仿宋_GB2312" w:hAnsi="仿宋_GB2312" w:cs="仿宋_GB2312" w:eastAsia="仿宋_GB2312"/>
                <w:sz w:val="24"/>
              </w:rPr>
              <w:t>3、质量保修期：2年。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符合国家、省、市、行业现行标准及采购人要求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3.4.1 投标单位需要在线提交所有通过电子化交易平台实施的政府采购项目的投标文件， 同时，线下递交投标文件（线上提交导出的电子版打印并加盖鲜章），正本壹份、副本贰份，电子文件(U 盘)壹份，电子文件随正本密封，电子文件工程量清单为广联达版和PDF版。若线上电子投标文件与纸质投标文件不一致以电子投标文件为准，若正本和副本不符，以正本为准。线下递交时间同线上投标文件递交截止时间;线下递交文件地点：陕西康丰建设项目管理有限公司(临潼区西关正街铁一处小区6号楼1单元北侧一楼)。 3.4.2 报价为完成本项目招标文件中所提出的工作范围及要求的全部内容，并达到国家及采购人验收标准而产生的所有费用，包括但不限于人工费、管理费、交通费、住宿费、办 公费、招标代理服务费、利润、税金、风险、验收等完成本项目所需的全部费用。任何错报、漏报由投标单位自行负责。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基本资格条件承诺函或相关资格证明文件</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如不提供《基本资格条件承诺函》的供应商需提交以下资格证明文件： ①财务状况报告：提供2025年度经审计的财务审计报告(包括审计报告、资产负债表、利润表、现金流量表、所有者权益变动表及其附注），成立时间至开标时间不足一年的可提供成立后任意时段的资产负债表或磋商截止时间前六个月内其基本账户银行出具的资信证明或政府采购信用担保机构出具的担保函； ②税收缴纳证明：提供投标截止时间前6个月内任意一个月的纳税证明或完税证明，依法免税的单位应提供相关证明材料； ③社会保障资金缴纳证明：提供投标截止时间前6个月内任意一个月的社会保障资金缴存单据或社保机构开具的社会保险参保缴费情况证明，依法不需要缴纳社会保障资金的单位应提供相关证明材料； ④履行合同所必需的设备和专业技术能力的书面声明； ⑤参加政府采购活动前三年内，在经营活动中没有重大违法记录的书面声明； ⑥供应商不得为“信用中国”网站（www.creditchina.gov.cn）中列入失信被执行人（即中国执行信息公开网http://zxgk.court.gov.cn）和重大税收违法失信主体的供应商，不得为中国政府采购网（www.ccgp.gov.cn）政府采购严重违法失信行为记录名单中被财政部门禁止参加政府采购活动的供应商（提供报名截止时间后的网页查询结果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供应商代表应提供法定代表人授权委托书（附法定代表人及被授权人身份证复印件或扫描件），法定代表人直接参加投标须提供法定代表人身份证明书及身份证复印件或扫描件；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拟派项目经理须具备市政公用工程专业二级(含二级)及以上注册建造师证书，具有有效的安全生产考核合格证书（安B），且在本单位注册，无在建工程；（提供无在建工程承诺书）；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即低于最高限价的80%），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（1）投标文件的签署盖章：均按招标文件要求签字、盖章。 （2）投标文件格式：符合“投标文件格式”的规定。 （3）报价：各部分报价均不超过招标文件规定的标的金额，且总报价不能超过招标文件规定的采购预算金额或最高限价。</w:t>
            </w:r>
          </w:p>
        </w:tc>
        <w:tc>
          <w:tcPr>
            <w:tcW w:type="dxa" w:w="1661"/>
          </w:tcPr>
          <w:p>
            <w:pPr>
              <w:pStyle w:val="null3"/>
            </w:pPr>
            <w:r>
              <w:rPr>
                <w:rFonts w:ascii="仿宋_GB2312" w:hAnsi="仿宋_GB2312" w:cs="仿宋_GB2312" w:eastAsia="仿宋_GB2312"/>
              </w:rPr>
              <w:t>已标价工程量清单 中小企业声明函 资格证明文件.docx 供应商承诺书.docx 施工组织设计.docx 响应文件封面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工期、质量、质保期及投标有效期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报价函 标的清单 响应函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一、评审内容：供应商针对本项目编制完整的施工方案，内容包含：（1）施工组织总体部署；（2）重难点分析及应对措施；（3）主要分部分项施工工艺及方法。 二、赋分标准（9分）：每满足一项评审内容得（1.5-3.0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一、评审内容：供应商针对本项目编制完整的确保工程质量的技术组织措施，内容包含：（1）质量管理体系；（2）质量保证及质量目标；（3）保证工程质量的具体措施。 二、赋分标准（9分）：每满足一项评审内容得（1.5-3.0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一、评审内容：供应商针对本项目编制完整的确保安全生产的技术组织措施，内容包含：（1）安全生产管理制度；（2）安全生产计划；（3）安全生产的环节控制措施。 二、赋分标准（9分）：每满足一项评审内容得（1.5-3.0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供应商针对本项目编制完整的确保文明施工的技术组织措施及环境保护措施，内容包含：（1）文明施工管理目标及技术措施；（2）文明施工现场管理；（3）扬尘治理、降噪、排污、绿色施工的环境保护措施。 二、赋分标准（9分）：每满足一项评审内容得（1.5-3.0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项目组织管理机构及人员施工组织安排</w:t>
            </w:r>
          </w:p>
        </w:tc>
        <w:tc>
          <w:tcPr>
            <w:tcW w:type="dxa" w:w="2492"/>
          </w:tcPr>
          <w:p>
            <w:pPr>
              <w:pStyle w:val="null3"/>
            </w:pPr>
            <w:r>
              <w:rPr>
                <w:rFonts w:ascii="仿宋_GB2312" w:hAnsi="仿宋_GB2312" w:cs="仿宋_GB2312" w:eastAsia="仿宋_GB2312"/>
              </w:rPr>
              <w:t>人员配备在数量上和专业上满足施工要求，完善，横向比较在2～5分之间打分。 项目经理附有建造师注册证书、安全生产考核合格证书等证书扫描件或复印件，每附一个证得1分； 技术负责人、施工员、质量员、安全员、材料员、资料员等附有执业或职业资格证或上岗证或职称证等扫描件或复印件，每附一个人员证书得0.5分。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一、评审内容：供应商针对本项目编制完整的确保工期的技术组织措施，内容包含：（1）关键节点工期计划；（2）保证项目顺利完工的工期节点考核措施；（3）工期承诺； 二、赋分标准（6分）：每满足一项评审内容得（1.0-2.0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施工机械设备和材料投入、劳动力安排计划</w:t>
            </w:r>
          </w:p>
        </w:tc>
        <w:tc>
          <w:tcPr>
            <w:tcW w:type="dxa" w:w="2492"/>
          </w:tcPr>
          <w:p>
            <w:pPr>
              <w:pStyle w:val="null3"/>
            </w:pPr>
            <w:r>
              <w:rPr>
                <w:rFonts w:ascii="仿宋_GB2312" w:hAnsi="仿宋_GB2312" w:cs="仿宋_GB2312" w:eastAsia="仿宋_GB2312"/>
              </w:rPr>
              <w:t>一、评审内容：供应商保证本项目顺利完工的施工机械设备和材料投入、劳动力安排计划，内容包含：（1）施工机械设备投入方案：设备选型、数量、进场计划等；（2）材料供应保障方案：材料清单、供货计划、货源保障、质量检验等；（3）劳动力组织安排方案：管理团队、工种配置、人员进场计划、持证管理等。 二、赋分标准（6分）：每满足一项评审内容得（1.0-2.0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一、评审内容：供应商保证本项目顺利完工的施工进度网络图或施工进度表，内容包含：（1）工期要求：总工期满足招标要求；得1.0分 （2）施工进度表或施工网络图完整性：分项不漏项，若提供施工进度表，则要求进度图表编制完整规范，时间标注清晰，若提供施工网络图，则要求网络图关键线路清晰，得（1.5-2.5）分。 二、赋分标准（3.5分）：未提供的得0分；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一、评审内容：供应商为本项目提供相关维修服务及保修承诺，内容包含：（1）保修期限：保修期满足招标文件最低要求；（2）保修范围：具体保修内容，无不合理免责条款；（3）故障响应机制：明确道路破损、坑槽、裂缝、沉降等病害报修后的到场时限、抢修方案；（4）质保期维修保障措施：配备固定维修人员、机械设备、修补材料；（5）保修费用承诺：质保期内维修人工、材料、机械全部由投标人承担，不另行向采购人收费。 二、赋分标准（7.5分）：每满足一项评审内容得（0.5-1.5）分，针对每项评审内容每存在一处缺陷的扣0.5分，未提供的得0分；备注:“缺陷”指内容存在错误、表述不完善、缺少次要关键点或不完全贴合本项目特征等任意一种情形。</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业绩的有关证明材料</w:t>
            </w:r>
          </w:p>
        </w:tc>
        <w:tc>
          <w:tcPr>
            <w:tcW w:type="dxa" w:w="2492"/>
          </w:tcPr>
          <w:p>
            <w:pPr>
              <w:pStyle w:val="null3"/>
            </w:pPr>
            <w:r>
              <w:rPr>
                <w:rFonts w:ascii="仿宋_GB2312" w:hAnsi="仿宋_GB2312" w:cs="仿宋_GB2312" w:eastAsia="仿宋_GB2312"/>
              </w:rPr>
              <w:t>提供2023年1月1日起至投标文件递交截止之日的类似工程业绩（即合同协议书内含道路硬化、道路提升改造或给排水等内容），以合同协议书签订时间为准，每个计2分，最高得6分。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报价为评标基准价，其价格分为满分。其他供应商的价格分统一按照下列公式计算：报价得分=(评标基准价／投标报价)×30×100%，计算分数时四舍五入取小数点后两位。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