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FABBB">
      <w:pPr>
        <w:jc w:val="center"/>
        <w:rPr>
          <w:rFonts w:hint="eastAsia"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延安市安塞区机关事务管理局</w:t>
      </w:r>
    </w:p>
    <w:p w14:paraId="4593CB48">
      <w:pPr>
        <w:jc w:val="center"/>
        <w:rPr>
          <w:rFonts w:hint="default"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安塞区政府大院物业服务采购项目竞争性磋商公告</w:t>
      </w:r>
    </w:p>
    <w:p w14:paraId="0869E942">
      <w:pPr>
        <w:jc w:val="both"/>
        <w:rPr>
          <w:rFonts w:hint="default"/>
          <w:szCs w:val="21"/>
          <w:lang w:val="en-US" w:eastAsia="zh-CN"/>
        </w:rPr>
      </w:pPr>
    </w:p>
    <w:p w14:paraId="22ED59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477374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安塞区政府大院物业服务采购项目采购项目的潜在供应商应在《全国公共资源交易平台（陕西省</w:t>
      </w:r>
      <w:bookmarkStart w:id="0" w:name="_GoBack"/>
      <w:bookmarkEnd w:id="0"/>
      <w:r>
        <w:rPr>
          <w:rFonts w:hint="eastAsia" w:ascii="仿宋_GB2312" w:hAnsi="仿宋_GB2312" w:eastAsia="仿宋_GB2312" w:cs="仿宋_GB2312"/>
          <w:b w:val="0"/>
          <w:bCs w:val="0"/>
          <w:color w:val="333333"/>
          <w:kern w:val="0"/>
          <w:sz w:val="21"/>
          <w:szCs w:val="21"/>
          <w:lang w:val="en-US" w:eastAsia="zh-CN" w:bidi="ar-SA"/>
        </w:rPr>
        <w:t>•延安市）》使用CA锁下载获取采购文件，并于 2026年06月10日 14时30分 （北京时间）前提交响应文件。</w:t>
      </w:r>
    </w:p>
    <w:p w14:paraId="39F988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18DD1A2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项目编号：ASZCJC-2026035</w:t>
      </w:r>
    </w:p>
    <w:p w14:paraId="3E972D8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项目名称：安塞区政府大院物业服务采购项目</w:t>
      </w:r>
    </w:p>
    <w:p w14:paraId="18A94D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350B68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预算金额：1,151,619.00元</w:t>
      </w:r>
    </w:p>
    <w:p w14:paraId="1AF77A4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3A0C27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合同包1(安塞区政府大院物业服务采购项目):</w:t>
      </w:r>
    </w:p>
    <w:p w14:paraId="0BC143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合同包预算金额：1,151,619.00元</w:t>
      </w:r>
    </w:p>
    <w:p w14:paraId="31E3ADF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合同包最高限价：1,151,619.00元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15"/>
        <w:gridCol w:w="1113"/>
        <w:gridCol w:w="2306"/>
        <w:gridCol w:w="1190"/>
        <w:gridCol w:w="1721"/>
        <w:gridCol w:w="1501"/>
      </w:tblGrid>
      <w:tr w14:paraId="7ACEB7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BB07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B7A36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73A7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FDBE2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50ED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2821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4CC02E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D61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80596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5D35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安塞区政府大院物业服务采购项目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1CBB0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676EF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F744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1,151,619.00</w:t>
            </w:r>
          </w:p>
        </w:tc>
      </w:tr>
    </w:tbl>
    <w:p w14:paraId="3406CF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1D0BB8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6C07C9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r>
        <w:rPr>
          <w:rFonts w:hint="eastAsia" w:ascii="仿宋_GB2312" w:hAnsi="仿宋_GB2312" w:eastAsia="仿宋_GB2312" w:cs="仿宋_GB2312"/>
          <w:b w:val="0"/>
          <w:bCs w:val="0"/>
          <w:color w:val="333333"/>
          <w:kern w:val="0"/>
          <w:sz w:val="21"/>
          <w:szCs w:val="21"/>
          <w:lang w:val="en-US" w:eastAsia="zh-CN" w:bidi="ar-SA"/>
        </w:rPr>
        <w:t>：</w:t>
      </w:r>
    </w:p>
    <w:p w14:paraId="1C2A06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1B91E7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3C62D8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合同包1(安塞区政府大院物业服务采购项目)落实政府采购政策需满足的资格要求如下:</w:t>
      </w:r>
    </w:p>
    <w:p w14:paraId="5DD0600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10A71F6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72A3ED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合同包1(安塞区政府大院物业服务采购项目)特定资格要求如下:</w:t>
      </w:r>
    </w:p>
    <w:p w14:paraId="30E1CAD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投标人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（7）书面声明：提供书面声明，包括声明具有履行合同所必需的设备和专业技术能力；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55A5EE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713E5E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2026年05月25日 至 2026年05月29日 ，每天上午 09:00:00 至 12:00:00 ，下午 14:00:00 至 17:00:00 （北京时间）</w:t>
      </w:r>
    </w:p>
    <w:p w14:paraId="12AB7D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6288D69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3634D6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49D83C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03D1FEA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2026年06月10日 14时30分00秒 （北京时间）</w:t>
      </w:r>
    </w:p>
    <w:p w14:paraId="3FAA313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0849FB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54DC87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2026年06月10日 14时30分00秒 （北京时间）</w:t>
      </w:r>
    </w:p>
    <w:p w14:paraId="4258294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1B9400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56A8A04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1840F2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054A35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35A85C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009ABF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1DE375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21BAE58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5厅）。响应文件递交的具体要求详见磋商文件的规定。逾期送达的、未送达指定地点的或者不按照磋商文件要求密封的响应文件，采购人将予以拒收。</w:t>
      </w:r>
    </w:p>
    <w:p w14:paraId="375238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3F007C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637E6C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1BFFC6A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名称：延安市安塞区机关事务管理局</w:t>
      </w:r>
    </w:p>
    <w:p w14:paraId="37ECF0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地址：延安市安塞区政府大院原档案馆301室</w:t>
      </w:r>
    </w:p>
    <w:p w14:paraId="387EF7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联系方式：13892157388</w:t>
      </w:r>
    </w:p>
    <w:p w14:paraId="196908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2579A73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7C926D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781189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5F2C31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7787A0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5EE5A32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电话：0911-6216506</w:t>
      </w:r>
    </w:p>
    <w:p w14:paraId="115473E3">
      <w:pPr>
        <w:jc w:val="both"/>
        <w:rPr>
          <w:rFonts w:hint="default"/>
          <w:szCs w:val="21"/>
          <w:lang w:val="en-US" w:eastAsia="zh-CN"/>
        </w:rPr>
      </w:pPr>
    </w:p>
    <w:p w14:paraId="6ECFB479">
      <w:pPr>
        <w:pStyle w:val="9"/>
        <w:rPr>
          <w:rFonts w:hint="eastAsia"/>
          <w:lang w:val="en-US" w:eastAsia="zh-CN"/>
        </w:rPr>
      </w:pPr>
    </w:p>
    <w:p w14:paraId="476BDB4E">
      <w:pPr>
        <w:jc w:val="both"/>
        <w:rPr>
          <w:rFonts w:hint="default"/>
          <w:szCs w:val="21"/>
          <w:lang w:val="en-US" w:eastAsia="zh-CN"/>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2026年05月23日</w:t>
      </w:r>
    </w:p>
    <w:p w14:paraId="08C74F90">
      <w:pPr>
        <w:jc w:val="both"/>
        <w:rPr>
          <w:rFonts w:hint="default"/>
          <w:szCs w:val="21"/>
          <w:lang w:val="en-US" w:eastAsia="zh-CN"/>
        </w:rPr>
      </w:pPr>
    </w:p>
    <w:p w14:paraId="3D04B2AC">
      <w:pPr>
        <w:jc w:val="both"/>
        <w:rPr>
          <w:rFonts w:hint="default"/>
          <w:szCs w:val="21"/>
          <w:lang w:val="en-US" w:eastAsia="zh-CN"/>
        </w:rPr>
      </w:pPr>
    </w:p>
    <w:p w14:paraId="7588FFC0">
      <w:pPr>
        <w:jc w:val="both"/>
        <w:rPr>
          <w:rFonts w:hint="default"/>
          <w:szCs w:val="21"/>
          <w:lang w:val="en-US" w:eastAsia="zh-CN"/>
        </w:rPr>
      </w:pPr>
    </w:p>
    <w:p w14:paraId="53070E3E">
      <w:pPr>
        <w:jc w:val="both"/>
        <w:rPr>
          <w:rFonts w:hint="default"/>
          <w:szCs w:val="21"/>
          <w:lang w:val="en-US" w:eastAsia="zh-CN"/>
        </w:rPr>
      </w:pPr>
    </w:p>
    <w:p w14:paraId="7281ADC5">
      <w:pPr>
        <w:jc w:val="both"/>
        <w:rPr>
          <w:rFonts w:hint="default"/>
          <w:szCs w:val="21"/>
          <w:lang w:val="en-US" w:eastAsia="zh-CN"/>
        </w:rPr>
      </w:pPr>
    </w:p>
    <w:p w14:paraId="685D9629">
      <w:pPr>
        <w:jc w:val="both"/>
        <w:rPr>
          <w:rFonts w:hint="default"/>
          <w:szCs w:val="21"/>
          <w:lang w:val="en-US" w:eastAsia="zh-CN"/>
        </w:rPr>
      </w:pPr>
    </w:p>
    <w:p w14:paraId="30ED2749">
      <w:pPr>
        <w:jc w:val="both"/>
        <w:rPr>
          <w:rFonts w:hint="default"/>
          <w:szCs w:val="21"/>
          <w:lang w:val="en-US" w:eastAsia="zh-CN"/>
        </w:rPr>
      </w:pPr>
    </w:p>
    <w:p w14:paraId="38DB76F8">
      <w:pPr>
        <w:jc w:val="both"/>
        <w:rPr>
          <w:rFonts w:hint="default"/>
          <w:szCs w:val="21"/>
          <w:lang w:val="en-US" w:eastAsia="zh-CN"/>
        </w:rPr>
      </w:pPr>
    </w:p>
    <w:p w14:paraId="28B210DF">
      <w:pPr>
        <w:jc w:val="both"/>
        <w:rPr>
          <w:rFonts w:hint="default"/>
          <w:szCs w:val="21"/>
          <w:lang w:val="en-US" w:eastAsia="zh-CN"/>
        </w:rPr>
      </w:pPr>
    </w:p>
    <w:p w14:paraId="73D923DD">
      <w:pPr>
        <w:jc w:val="both"/>
        <w:rPr>
          <w:rFonts w:hint="default"/>
          <w:szCs w:val="21"/>
          <w:lang w:val="en-US" w:eastAsia="zh-CN"/>
        </w:rPr>
      </w:pPr>
    </w:p>
    <w:p w14:paraId="5939EB26">
      <w:pPr>
        <w:jc w:val="both"/>
        <w:rPr>
          <w:rFonts w:hint="default"/>
          <w:szCs w:val="21"/>
          <w:lang w:val="en-US" w:eastAsia="zh-CN"/>
        </w:rPr>
      </w:pPr>
    </w:p>
    <w:p w14:paraId="6B784392">
      <w:pPr>
        <w:jc w:val="both"/>
        <w:rPr>
          <w:rFonts w:hint="default"/>
          <w:szCs w:val="21"/>
          <w:lang w:val="en-US" w:eastAsia="zh-CN"/>
        </w:rPr>
      </w:pPr>
    </w:p>
    <w:p w14:paraId="52D6307A">
      <w:pPr>
        <w:jc w:val="both"/>
        <w:rPr>
          <w:rFonts w:hint="default"/>
          <w:szCs w:val="21"/>
          <w:lang w:val="en-US" w:eastAsia="zh-CN"/>
        </w:rPr>
      </w:pPr>
    </w:p>
    <w:p w14:paraId="664A8FE2">
      <w:pPr>
        <w:jc w:val="both"/>
        <w:rPr>
          <w:rFonts w:hint="default"/>
          <w:szCs w:val="21"/>
          <w:lang w:val="en-US" w:eastAsia="zh-CN"/>
        </w:rPr>
      </w:pPr>
    </w:p>
    <w:p w14:paraId="417E5CB2">
      <w:pPr>
        <w:jc w:val="both"/>
        <w:rPr>
          <w:rFonts w:hint="default"/>
          <w:szCs w:val="21"/>
          <w:lang w:val="en-US" w:eastAsia="zh-CN"/>
        </w:rPr>
      </w:pPr>
    </w:p>
    <w:p w14:paraId="0C52D684">
      <w:pPr>
        <w:jc w:val="both"/>
        <w:rPr>
          <w:rFonts w:hint="default"/>
          <w:szCs w:val="21"/>
          <w:lang w:val="en-US" w:eastAsia="zh-CN"/>
        </w:rPr>
      </w:pPr>
    </w:p>
    <w:p w14:paraId="119C8004">
      <w:pPr>
        <w:jc w:val="both"/>
        <w:rPr>
          <w:rFonts w:hint="default"/>
          <w:szCs w:val="21"/>
          <w:lang w:val="en-US" w:eastAsia="zh-CN"/>
        </w:rPr>
      </w:pPr>
    </w:p>
    <w:p w14:paraId="43FF48D0">
      <w:pPr>
        <w:jc w:val="both"/>
        <w:rPr>
          <w:rFonts w:hint="default"/>
          <w:szCs w:val="21"/>
          <w:lang w:val="en-US" w:eastAsia="zh-CN"/>
        </w:rPr>
      </w:pPr>
    </w:p>
    <w:p w14:paraId="3113FACC">
      <w:pPr>
        <w:jc w:val="both"/>
        <w:rPr>
          <w:rFonts w:hint="default"/>
          <w:szCs w:val="21"/>
          <w:lang w:val="en-US" w:eastAsia="zh-CN"/>
        </w:rPr>
      </w:pPr>
    </w:p>
    <w:p w14:paraId="27CB8A46">
      <w:pPr>
        <w:jc w:val="both"/>
        <w:rPr>
          <w:rFonts w:hint="default"/>
          <w:szCs w:val="21"/>
          <w:lang w:val="en-US" w:eastAsia="zh-CN"/>
        </w:rPr>
      </w:pPr>
    </w:p>
    <w:p w14:paraId="1EDC214C">
      <w:pPr>
        <w:jc w:val="both"/>
        <w:rPr>
          <w:rFonts w:hint="default"/>
          <w:szCs w:val="21"/>
          <w:lang w:val="en-US" w:eastAsia="zh-CN"/>
        </w:rPr>
      </w:pPr>
    </w:p>
    <w:p w14:paraId="7857F264">
      <w:pPr>
        <w:jc w:val="both"/>
        <w:rPr>
          <w:rFonts w:hint="default"/>
          <w:szCs w:val="21"/>
          <w:lang w:val="en-US" w:eastAsia="zh-CN"/>
        </w:rPr>
      </w:pPr>
    </w:p>
    <w:p w14:paraId="0DE7D9C8">
      <w:pPr>
        <w:jc w:val="both"/>
        <w:rPr>
          <w:rFonts w:hint="default"/>
          <w:szCs w:val="21"/>
          <w:lang w:val="en-US" w:eastAsia="zh-CN"/>
        </w:rPr>
      </w:pPr>
      <w:r>
        <w:rPr>
          <w:rFonts w:hint="eastAsia"/>
          <w:szCs w:val="21"/>
          <w:lang w:val="en-US" w:eastAsia="zh-CN"/>
        </w:rPr>
        <w:t xml:space="preserve"> </w:t>
      </w:r>
    </w:p>
    <w:p w14:paraId="4288E17E">
      <w:pPr>
        <w:jc w:val="both"/>
        <w:rPr>
          <w:rFonts w:hint="default"/>
          <w:szCs w:val="21"/>
          <w:lang w:val="en-US" w:eastAsia="zh-CN"/>
        </w:rPr>
      </w:pPr>
    </w:p>
    <w:p w14:paraId="34D6FFF6">
      <w:pPr>
        <w:jc w:val="both"/>
        <w:rPr>
          <w:rFonts w:hint="default"/>
          <w:szCs w:val="21"/>
          <w:lang w:val="en-US" w:eastAsia="zh-CN"/>
        </w:rPr>
      </w:pPr>
    </w:p>
    <w:p w14:paraId="34271276">
      <w:pPr>
        <w:jc w:val="both"/>
        <w:rPr>
          <w:rFonts w:hint="default"/>
          <w:szCs w:val="21"/>
          <w:lang w:val="en-US" w:eastAsia="zh-CN"/>
        </w:rPr>
      </w:pPr>
    </w:p>
    <w:p w14:paraId="76994AD2">
      <w:pPr>
        <w:jc w:val="both"/>
        <w:rPr>
          <w:rFonts w:hint="default"/>
          <w:szCs w:val="21"/>
          <w:lang w:val="en-US" w:eastAsia="zh-CN"/>
        </w:rPr>
      </w:pPr>
    </w:p>
    <w:p w14:paraId="51C9F162">
      <w:pPr>
        <w:jc w:val="both"/>
        <w:rPr>
          <w:rFonts w:hint="default"/>
          <w:szCs w:val="21"/>
          <w:lang w:val="en-US" w:eastAsia="zh-CN"/>
        </w:rPr>
      </w:pPr>
    </w:p>
    <w:p w14:paraId="38744A43">
      <w:pPr>
        <w:jc w:val="both"/>
        <w:rPr>
          <w:rFonts w:hint="default"/>
          <w:szCs w:val="21"/>
          <w:lang w:val="en-US" w:eastAsia="zh-CN"/>
        </w:rPr>
      </w:pPr>
    </w:p>
    <w:p w14:paraId="3ADCF761">
      <w:pPr>
        <w:jc w:val="both"/>
        <w:rPr>
          <w:rFonts w:hint="default"/>
          <w:szCs w:val="21"/>
          <w:lang w:val="en-US" w:eastAsia="zh-CN"/>
        </w:rPr>
      </w:pPr>
    </w:p>
    <w:p w14:paraId="76E55CA2">
      <w:pPr>
        <w:jc w:val="both"/>
        <w:rPr>
          <w:rFonts w:hint="default"/>
          <w:szCs w:val="21"/>
          <w:lang w:val="en-US" w:eastAsia="zh-CN"/>
        </w:rPr>
      </w:pPr>
    </w:p>
    <w:p w14:paraId="48A5D2EA">
      <w:pPr>
        <w:jc w:val="both"/>
        <w:rPr>
          <w:rFonts w:hint="default"/>
          <w:szCs w:val="21"/>
          <w:lang w:val="en-US" w:eastAsia="zh-CN"/>
        </w:rPr>
      </w:pPr>
    </w:p>
    <w:p w14:paraId="4AF06F6F">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1A452990"/>
    <w:rsid w:val="2CB91966"/>
    <w:rsid w:val="2E6A4165"/>
    <w:rsid w:val="41574AA5"/>
    <w:rsid w:val="503400A8"/>
    <w:rsid w:val="51FB7AD3"/>
    <w:rsid w:val="67FF51EE"/>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2420</Words>
  <Characters>2675</Characters>
  <Lines>1</Lines>
  <Paragraphs>1</Paragraphs>
  <TotalTime>1</TotalTime>
  <ScaleCrop>false</ScaleCrop>
  <LinksUpToDate>false</LinksUpToDate>
  <CharactersWithSpaces>2775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2026-05-23T07:41:31Z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