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版本号：SXZHZC2026-CS06220260827001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管委会信访维稳安保应急备勤力量</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SXZHZC2026-CS062</w:t>
      </w:r>
      <w:r>
        <w:br/>
      </w:r>
      <w:r>
        <w:br/>
      </w:r>
      <w:r>
        <w:br/>
      </w:r>
    </w:p>
    <w:p>
      <w:pPr>
        <w:pStyle w:val="null3"/>
        <w:jc w:val="center"/>
        <w:outlineLvl w:val="2"/>
      </w:pPr>
      <w:r>
        <w:rPr>
          <w:rFonts w:ascii="仿宋_GB2312" w:hAnsi="仿宋_GB2312" w:cs="仿宋_GB2312" w:eastAsia="仿宋_GB2312"/>
          <w:sz w:val="28"/>
          <w:b/>
        </w:rPr>
        <w:t>西安经济技术开发区党群工作部</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西安经济技术开发区党群工作部</w:t>
      </w:r>
      <w:r>
        <w:rPr>
          <w:rFonts w:ascii="仿宋_GB2312" w:hAnsi="仿宋_GB2312" w:cs="仿宋_GB2312" w:eastAsia="仿宋_GB2312"/>
        </w:rPr>
        <w:t>委托，拟对</w:t>
      </w:r>
      <w:r>
        <w:rPr>
          <w:rFonts w:ascii="仿宋_GB2312" w:hAnsi="仿宋_GB2312" w:cs="仿宋_GB2312" w:eastAsia="仿宋_GB2312"/>
        </w:rPr>
        <w:t>管委会信访维稳安保应急备勤力量</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SXZHZC2026-CS062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管委会信访维稳安保应急备勤力量</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委托专业安保服务公司，承担我区信访维稳应急备勤、突发群体性事件现场秩序维护、管委会办公区楼前安全保障、重大会议及敏感节点重点人员稳控等工作。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采购包1（管委会信访维稳安保应急备勤力量）：属于专门面向中小企业采购。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2、保安服务许可证：供应商应具备公安机关颁发的《保安服务许可证》，陕西省外供应商还须出具承诺书（承诺书形式不限），承诺自承接本项目之日起30日内向采购人所在地设区的市级人民政府公安机关备案；</w:t>
      </w:r>
    </w:p>
    <w:p>
      <w:pPr>
        <w:pStyle w:val="null3"/>
      </w:pPr>
      <w:r>
        <w:rPr>
          <w:rFonts w:ascii="仿宋_GB2312" w:hAnsi="仿宋_GB2312" w:cs="仿宋_GB2312" w:eastAsia="仿宋_GB2312"/>
        </w:rPr>
        <w:t>3、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西安经济技术开发区党群工作部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陕西省西安市未央区凤城十二路凯瑞大厦F座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029-83662886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银行户名：陕西泽航项目管理有限公司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西安经济技术开发区党群工作部</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西安经济技术开发区党群工作部</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西安经济技术开发区党群工作部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归采购人所属</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对照《绩效目标表》及合同约定，重点考核响应时效、处置合规性、台账规范性。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委托专业安保服务公司，承担我区信访维稳应急备勤、突发群体性事件现场秩序维护、管委会办公区楼前安全保障、重大会议及敏感节点重点人员稳控等工作。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890,000.00</w:t>
      </w:r>
    </w:p>
    <w:p>
      <w:pPr>
        <w:pStyle w:val="null3"/>
      </w:pPr>
      <w:r>
        <w:rPr>
          <w:rFonts w:ascii="仿宋_GB2312" w:hAnsi="仿宋_GB2312" w:cs="仿宋_GB2312" w:eastAsia="仿宋_GB2312"/>
        </w:rPr>
        <w:t>采购包最高限价（元）: 890,000.00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管委会信访维稳安保应急备勤力量</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标的名称：管委会信访维稳安保应急备勤力量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服务内容</w:t>
            </w:r>
          </w:p>
          <w:p>
            <w:pPr>
              <w:pStyle w:val="null3"/>
              <w:ind w:firstLine="420"/>
              <w:jc w:val="both"/>
            </w:pPr>
            <w:r>
              <w:rPr>
                <w:rFonts w:ascii="仿宋_GB2312" w:hAnsi="仿宋_GB2312" w:cs="仿宋_GB2312" w:eastAsia="仿宋_GB2312"/>
                <w:sz w:val="21"/>
              </w:rPr>
              <w:t>(一)业务内容</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委托专业安保服务公司，承担我区信访维稳应急备勤、突发群体性事件现场秩序维护、管委会办公区楼前安全保障、重大会议及敏感节点重点人员稳控等工作。</w:t>
            </w:r>
          </w:p>
          <w:p>
            <w:pPr>
              <w:pStyle w:val="null3"/>
              <w:ind w:firstLine="420"/>
              <w:jc w:val="both"/>
            </w:pPr>
            <w:r>
              <w:rPr>
                <w:rFonts w:ascii="仿宋_GB2312" w:hAnsi="仿宋_GB2312" w:cs="仿宋_GB2312" w:eastAsia="仿宋_GB2312"/>
                <w:sz w:val="21"/>
              </w:rPr>
              <w:t>(二)工作量</w:t>
            </w:r>
          </w:p>
          <w:p>
            <w:pPr>
              <w:pStyle w:val="null3"/>
              <w:ind w:firstLine="420"/>
              <w:jc w:val="both"/>
            </w:pPr>
            <w:r>
              <w:rPr>
                <w:rFonts w:ascii="仿宋_GB2312" w:hAnsi="仿宋_GB2312" w:cs="仿宋_GB2312" w:eastAsia="仿宋_GB2312"/>
                <w:sz w:val="21"/>
              </w:rPr>
              <w:t>1.日常备勤:全年365天常态化应急备勤，</w:t>
            </w:r>
            <w:r>
              <w:rPr>
                <w:rFonts w:ascii="仿宋_GB2312" w:hAnsi="仿宋_GB2312" w:cs="仿宋_GB2312" w:eastAsia="仿宋_GB2312"/>
                <w:sz w:val="21"/>
              </w:rPr>
              <w:t>安排固定人员在指定区域</w:t>
            </w:r>
            <w:r>
              <w:rPr>
                <w:rFonts w:ascii="仿宋_GB2312" w:hAnsi="仿宋_GB2312" w:cs="仿宋_GB2312" w:eastAsia="仿宋_GB2312"/>
                <w:sz w:val="21"/>
              </w:rPr>
              <w:t>24小时备勤</w:t>
            </w:r>
            <w:r>
              <w:rPr>
                <w:rFonts w:ascii="仿宋_GB2312" w:hAnsi="仿宋_GB2312" w:cs="仿宋_GB2312" w:eastAsia="仿宋_GB2312"/>
                <w:sz w:val="21"/>
              </w:rPr>
              <w:t>，</w:t>
            </w:r>
            <w:r>
              <w:rPr>
                <w:rFonts w:ascii="仿宋_GB2312" w:hAnsi="仿宋_GB2312" w:cs="仿宋_GB2312" w:eastAsia="仿宋_GB2312"/>
                <w:sz w:val="21"/>
              </w:rPr>
              <w:t>确保突发情况快速响应。</w:t>
            </w:r>
          </w:p>
          <w:p>
            <w:pPr>
              <w:pStyle w:val="null3"/>
              <w:ind w:firstLine="420"/>
              <w:jc w:val="both"/>
            </w:pPr>
            <w:r>
              <w:rPr>
                <w:rFonts w:ascii="仿宋_GB2312" w:hAnsi="仿宋_GB2312" w:cs="仿宋_GB2312" w:eastAsia="仿宋_GB2312"/>
                <w:sz w:val="21"/>
              </w:rPr>
              <w:t>2.应急处置:针对房地产、城改、劳动社保等重点领域，预计全年处置群体性上访事件不少于40起。</w:t>
            </w:r>
          </w:p>
          <w:p>
            <w:pPr>
              <w:pStyle w:val="null3"/>
              <w:ind w:firstLine="420"/>
              <w:jc w:val="both"/>
            </w:pPr>
            <w:r>
              <w:rPr>
                <w:rFonts w:ascii="仿宋_GB2312" w:hAnsi="仿宋_GB2312" w:cs="仿宋_GB2312" w:eastAsia="仿宋_GB2312"/>
                <w:sz w:val="21"/>
              </w:rPr>
              <w:t>3.专项任务:保障三级“两会”、重大庆典及各类敏感节点安保工作，</w:t>
            </w:r>
            <w:r>
              <w:rPr>
                <w:rFonts w:ascii="仿宋_GB2312" w:hAnsi="仿宋_GB2312" w:cs="仿宋_GB2312" w:eastAsia="仿宋_GB2312"/>
                <w:sz w:val="21"/>
              </w:rPr>
              <w:t>制定专项安保方案</w:t>
            </w:r>
            <w:r>
              <w:rPr>
                <w:rFonts w:ascii="仿宋_GB2312" w:hAnsi="仿宋_GB2312" w:cs="仿宋_GB2312" w:eastAsia="仿宋_GB2312"/>
                <w:sz w:val="21"/>
              </w:rPr>
              <w:t>并组织实施</w:t>
            </w:r>
            <w:r>
              <w:rPr>
                <w:rFonts w:ascii="仿宋_GB2312" w:hAnsi="仿宋_GB2312" w:cs="仿宋_GB2312" w:eastAsia="仿宋_GB2312"/>
                <w:sz w:val="21"/>
              </w:rPr>
              <w:t>，</w:t>
            </w:r>
            <w:r>
              <w:rPr>
                <w:rFonts w:ascii="仿宋_GB2312" w:hAnsi="仿宋_GB2312" w:cs="仿宋_GB2312" w:eastAsia="仿宋_GB2312"/>
                <w:sz w:val="21"/>
              </w:rPr>
              <w:t>全年预计执行专项任务不少于</w:t>
            </w:r>
            <w:r>
              <w:rPr>
                <w:rFonts w:ascii="仿宋_GB2312" w:hAnsi="仿宋_GB2312" w:cs="仿宋_GB2312" w:eastAsia="仿宋_GB2312"/>
                <w:sz w:val="21"/>
              </w:rPr>
              <w:t>10次。</w:t>
            </w:r>
            <w:r>
              <w:br/>
            </w:r>
            <w:r>
              <w:rPr>
                <w:rFonts w:ascii="仿宋_GB2312" w:hAnsi="仿宋_GB2312" w:cs="仿宋_GB2312" w:eastAsia="仿宋_GB2312"/>
                <w:sz w:val="21"/>
              </w:rPr>
              <w:t>二、</w:t>
            </w:r>
            <w:r>
              <w:rPr>
                <w:rFonts w:ascii="仿宋_GB2312" w:hAnsi="仿宋_GB2312" w:cs="仿宋_GB2312" w:eastAsia="仿宋_GB2312"/>
                <w:sz w:val="21"/>
              </w:rPr>
              <w:t>服务</w:t>
            </w:r>
            <w:r>
              <w:rPr>
                <w:rFonts w:ascii="仿宋_GB2312" w:hAnsi="仿宋_GB2312" w:cs="仿宋_GB2312" w:eastAsia="仿宋_GB2312"/>
                <w:sz w:val="21"/>
              </w:rPr>
              <w:t>要求</w:t>
            </w:r>
            <w:r>
              <w:br/>
            </w:r>
            <w:r>
              <w:rPr>
                <w:rFonts w:ascii="仿宋_GB2312" w:hAnsi="仿宋_GB2312" w:cs="仿宋_GB2312" w:eastAsia="仿宋_GB2312"/>
                <w:sz w:val="24"/>
              </w:rPr>
              <w:t xml:space="preserve">     </w:t>
            </w:r>
            <w:r>
              <w:rPr>
                <w:rFonts w:ascii="仿宋_GB2312" w:hAnsi="仿宋_GB2312" w:cs="仿宋_GB2312" w:eastAsia="仿宋_GB2312"/>
                <w:sz w:val="21"/>
              </w:rPr>
              <w:t>1.专业处置能力:信访维稳安保需具备风险预判、人群疏导、冲突降级等专业技能，要求人员经过严格的法律知识和应急处置培训，能在复杂现场依法依规开展工作。</w:t>
            </w:r>
          </w:p>
          <w:p>
            <w:pPr>
              <w:pStyle w:val="null3"/>
              <w:ind w:firstLine="420"/>
              <w:jc w:val="both"/>
            </w:pPr>
            <w:r>
              <w:rPr>
                <w:rFonts w:ascii="仿宋_GB2312" w:hAnsi="仿宋_GB2312" w:cs="仿宋_GB2312" w:eastAsia="仿宋_GB2312"/>
                <w:sz w:val="21"/>
              </w:rPr>
              <w:t>2.资质与经验门槛:服务机构必须具备公安机关核发的《保安服务许可证》，需拥有处置大规模群体性事件的成功案例</w:t>
            </w:r>
            <w:r>
              <w:rPr>
                <w:rFonts w:ascii="仿宋_GB2312" w:hAnsi="仿宋_GB2312" w:cs="仿宋_GB2312" w:eastAsia="仿宋_GB2312"/>
                <w:sz w:val="21"/>
              </w:rPr>
              <w:t>，</w:t>
            </w:r>
            <w:r>
              <w:rPr>
                <w:rFonts w:ascii="仿宋_GB2312" w:hAnsi="仿宋_GB2312" w:cs="仿宋_GB2312" w:eastAsia="仿宋_GB2312"/>
                <w:sz w:val="21"/>
              </w:rPr>
              <w:t>要求中标单位在接到指令后</w:t>
            </w:r>
            <w:r>
              <w:rPr>
                <w:rFonts w:ascii="仿宋_GB2312" w:hAnsi="仿宋_GB2312" w:cs="仿宋_GB2312" w:eastAsia="仿宋_GB2312"/>
                <w:sz w:val="21"/>
              </w:rPr>
              <w:t>30分钟内到达现场</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3.装备与技术保障:需配备专业的通讯指挥设备、防暴防护装备及应急物资，确保现场指挥畅通、人员安全。</w:t>
            </w:r>
          </w:p>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服务</w:t>
            </w:r>
            <w:r>
              <w:rPr>
                <w:rFonts w:ascii="仿宋_GB2312" w:hAnsi="仿宋_GB2312" w:cs="仿宋_GB2312" w:eastAsia="仿宋_GB2312"/>
                <w:sz w:val="21"/>
              </w:rPr>
              <w:t>年度</w:t>
            </w:r>
            <w:r>
              <w:rPr>
                <w:rFonts w:ascii="仿宋_GB2312" w:hAnsi="仿宋_GB2312" w:cs="仿宋_GB2312" w:eastAsia="仿宋_GB2312"/>
                <w:sz w:val="21"/>
              </w:rPr>
              <w:t>目标</w:t>
            </w:r>
          </w:p>
          <w:p>
            <w:pPr>
              <w:pStyle w:val="null3"/>
              <w:ind w:firstLine="420"/>
              <w:jc w:val="both"/>
            </w:pPr>
            <w:r>
              <w:rPr>
                <w:rFonts w:ascii="仿宋_GB2312" w:hAnsi="仿宋_GB2312" w:cs="仿宋_GB2312" w:eastAsia="仿宋_GB2312"/>
                <w:sz w:val="21"/>
              </w:rPr>
              <w:t>通过政府采购委托专业安保服务公司，建立常态化应急备勤机制，有效处置突发群体性上访事件，保障重大节点</w:t>
            </w:r>
            <w:r>
              <w:rPr>
                <w:rFonts w:ascii="仿宋_GB2312" w:hAnsi="仿宋_GB2312" w:cs="仿宋_GB2312" w:eastAsia="仿宋_GB2312"/>
                <w:sz w:val="21"/>
              </w:rPr>
              <w:t>“零到会上访、零过激事件”，维护管委会办公秩序和全区社会大局稳定，提升信访维稳工作规范化、专业化水平。</w:t>
            </w:r>
          </w:p>
          <w:p>
            <w:pPr>
              <w:pStyle w:val="null3"/>
              <w:ind w:firstLine="420"/>
              <w:jc w:val="both"/>
            </w:pPr>
            <w:r>
              <w:rPr>
                <w:rFonts w:ascii="仿宋_GB2312" w:hAnsi="仿宋_GB2312" w:cs="仿宋_GB2312" w:eastAsia="仿宋_GB2312"/>
                <w:sz w:val="21"/>
              </w:rPr>
              <w:t>付款</w:t>
            </w:r>
            <w:r>
              <w:rPr>
                <w:rFonts w:ascii="仿宋_GB2312" w:hAnsi="仿宋_GB2312" w:cs="仿宋_GB2312" w:eastAsia="仿宋_GB2312"/>
                <w:sz w:val="21"/>
              </w:rPr>
              <w:t>方式</w:t>
            </w:r>
          </w:p>
          <w:p>
            <w:pPr>
              <w:pStyle w:val="null3"/>
              <w:ind w:firstLine="420"/>
              <w:jc w:val="both"/>
            </w:pPr>
            <w:r>
              <w:rPr>
                <w:rFonts w:ascii="仿宋_GB2312" w:hAnsi="仿宋_GB2312" w:cs="仿宋_GB2312" w:eastAsia="仿宋_GB2312"/>
                <w:sz w:val="21"/>
              </w:rPr>
              <w:t>银行转账</w:t>
            </w:r>
            <w:r>
              <w:rPr>
                <w:rFonts w:ascii="仿宋_GB2312" w:hAnsi="仿宋_GB2312" w:cs="仿宋_GB2312" w:eastAsia="仿宋_GB2312"/>
                <w:sz w:val="21"/>
              </w:rPr>
              <w:t>，</w:t>
            </w:r>
            <w:r>
              <w:rPr>
                <w:rFonts w:ascii="仿宋_GB2312" w:hAnsi="仿宋_GB2312" w:cs="仿宋_GB2312" w:eastAsia="仿宋_GB2312"/>
                <w:sz w:val="21"/>
              </w:rPr>
              <w:t>最终产生费用按照实际的派驻保安人数与中标单价据实结算</w:t>
            </w:r>
            <w:r>
              <w:rPr>
                <w:rFonts w:ascii="仿宋_GB2312" w:hAnsi="仿宋_GB2312" w:cs="仿宋_GB2312" w:eastAsia="仿宋_GB2312"/>
                <w:sz w:val="21"/>
              </w:rPr>
              <w:t>，</w:t>
            </w:r>
            <w:r>
              <w:rPr>
                <w:rFonts w:ascii="仿宋_GB2312" w:hAnsi="仿宋_GB2312" w:cs="仿宋_GB2312" w:eastAsia="仿宋_GB2312"/>
                <w:sz w:val="21"/>
              </w:rPr>
              <w:t>结算</w:t>
            </w:r>
            <w:r>
              <w:rPr>
                <w:rFonts w:ascii="仿宋_GB2312" w:hAnsi="仿宋_GB2312" w:cs="仿宋_GB2312" w:eastAsia="仿宋_GB2312"/>
                <w:sz w:val="21"/>
              </w:rPr>
              <w:t>金额</w:t>
            </w:r>
            <w:r>
              <w:rPr>
                <w:rFonts w:ascii="仿宋_GB2312" w:hAnsi="仿宋_GB2312" w:cs="仿宋_GB2312" w:eastAsia="仿宋_GB2312"/>
                <w:sz w:val="21"/>
              </w:rPr>
              <w:t>不</w:t>
            </w:r>
            <w:r>
              <w:rPr>
                <w:rFonts w:ascii="仿宋_GB2312" w:hAnsi="仿宋_GB2312" w:cs="仿宋_GB2312" w:eastAsia="仿宋_GB2312"/>
                <w:sz w:val="21"/>
              </w:rPr>
              <w:t>超</w:t>
            </w:r>
            <w:r>
              <w:rPr>
                <w:rFonts w:ascii="仿宋_GB2312" w:hAnsi="仿宋_GB2312" w:cs="仿宋_GB2312" w:eastAsia="仿宋_GB2312"/>
                <w:sz w:val="21"/>
              </w:rPr>
              <w:t>项目</w:t>
            </w:r>
            <w:r>
              <w:rPr>
                <w:rFonts w:ascii="仿宋_GB2312" w:hAnsi="仿宋_GB2312" w:cs="仿宋_GB2312" w:eastAsia="仿宋_GB2312"/>
                <w:sz w:val="21"/>
              </w:rPr>
              <w:t>预算金额</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付款要求</w:t>
            </w:r>
          </w:p>
          <w:p>
            <w:pPr>
              <w:pStyle w:val="null3"/>
              <w:ind w:firstLine="420"/>
              <w:jc w:val="both"/>
            </w:pPr>
            <w:r>
              <w:rPr>
                <w:rFonts w:ascii="仿宋_GB2312" w:hAnsi="仿宋_GB2312" w:cs="仿宋_GB2312" w:eastAsia="仿宋_GB2312"/>
                <w:sz w:val="21"/>
              </w:rPr>
              <w:t>1.付款前乙方出具《工时结算单》提交甲方进行审核。</w:t>
            </w:r>
          </w:p>
          <w:p>
            <w:pPr>
              <w:pStyle w:val="null3"/>
            </w:pPr>
            <w:r>
              <w:rPr>
                <w:rFonts w:ascii="仿宋_GB2312" w:hAnsi="仿宋_GB2312" w:cs="仿宋_GB2312" w:eastAsia="仿宋_GB2312"/>
                <w:sz w:val="21"/>
              </w:rPr>
              <w:t>2.协议签定后根据经双方确认的《工时结算单》按季度转账支付。付款前乙方向甲方开具与支付金额相同的发票。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为保证项目质量，供应商应配置足够数量、专业的、经验丰富的技术人员完成项目履约。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有符合完成本项目服务内容的办公设备设施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1.验收主体:由党群工作部牵头，联合信访责任部门、财政金融局等部门组成验收小组。 2.验收标准:对照《绩效目标表》及合同约定，重点考核响应时效、处置合规性、台账规范性。 3.结果应用:验收合格后支付尾款;不合格的，责令整改，整改后仍不合格的，按合同约定扣除相应服务费用。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进度款，合同签订后，每季度《工时结算单》及支付金额等额发票经双方审核无误后，达到付款条件起30个工作日内，支付合同总金额的25.0%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进度款，合同签订后，每季度《工时结算单》及支付金额等额发票经双方审核无误后，达到付款条件起30个工作日内，支付合同总金额的25.0%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进度款，合同签订后，每季度《工时结算单》及支付金额等额发票经双方审核无误后，达到付款条件起30个工作日内，支付合同总金额的25.0%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进度款，合同签订后，每季度《工时结算单》及支付金额等额发票经双方审核无误后，达到付款条件起30个工作日内，支付合同总金额的25.0%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保安服务许可证</w:t>
            </w:r>
          </w:p>
        </w:tc>
        <w:tc>
          <w:tcPr>
            <w:tcW w:type="dxa" w:w="3322"/>
          </w:tcPr>
          <w:p>
            <w:pPr>
              <w:pStyle w:val="null3"/>
            </w:pPr>
            <w:r>
              <w:rPr>
                <w:rFonts w:ascii="仿宋_GB2312" w:hAnsi="仿宋_GB2312" w:cs="仿宋_GB2312" w:eastAsia="仿宋_GB2312"/>
              </w:rPr>
              <w:t>供应商应具备公安机关颁发的《保安服务许可证》，陕西省外供应商还须出具承诺书（承诺书形式不限），承诺自承接本项目之日起30日内向采购人所在地设区的市级人民政府公安机关备案；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服务方案 拒绝政府采购领域商业贿赂承诺书 技术和商务偏离表 合同条款响应</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资格证明文件 分项报价表 中小企业声明函 残疾人福利性单位声明函 服务方案 标的清单 技术和商务偏离表 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拒绝政府采购领域商业贿赂承诺书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评审内容：①准备阶段方案；②服务方法；③重点难点分析及解决措施；④突发群体性事件处置方案；⑤常态化应急备勤机制方案。 评审标准：以上内容合理完整的计20分；方案有缺漏项每项扣4分，方案内容中有错误或欠完善的每处扣0.5分，扣完为止；未提供方案的不得分。（错误是指：项目名称或者项目编号或者方案内容与本项目要求不一致、无关、逻辑错误、语句不通顺有歧义、前后内容相互矛盾等；欠完善是指：非专门针对本项目或不适用项目特性的情形、虽阐述但内容中未包含具体实施细节及措施或缺少关键节点、不符合采购项目现场实际情况及需求、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服务质量控制措施</w:t>
            </w:r>
          </w:p>
        </w:tc>
        <w:tc>
          <w:tcPr>
            <w:tcW w:type="dxa" w:w="2492"/>
          </w:tcPr>
          <w:p>
            <w:pPr>
              <w:pStyle w:val="null3"/>
            </w:pPr>
            <w:r>
              <w:rPr>
                <w:rFonts w:ascii="仿宋_GB2312" w:hAnsi="仿宋_GB2312" w:cs="仿宋_GB2312" w:eastAsia="仿宋_GB2312"/>
              </w:rPr>
              <w:t>评审内容：①质量管理工作流程；②质量保障方案;③质量控制体系；④设备投入方案。 评审标准：以上方案内容合理完整的计10分；方案有缺漏项每项扣2.5分，方案内容中有错误或欠完善的每处扣0.5分，扣完为止；未提供方案的不得分。（错误是指：项目名称或者项目编号或者方案内容与本项目要求不一致、无关、逻辑错误、语句不通顺有歧义、前后内容相互矛盾等；欠完善是指：非专门针对本项目或不适用项目特性的情形、虽阐述但内容中未包含具体实施细节及措施或缺少关键节点、不符合采购项目现场实际情况及需求、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安全组织措施</w:t>
            </w:r>
          </w:p>
        </w:tc>
        <w:tc>
          <w:tcPr>
            <w:tcW w:type="dxa" w:w="2492"/>
          </w:tcPr>
          <w:p>
            <w:pPr>
              <w:pStyle w:val="null3"/>
            </w:pPr>
            <w:r>
              <w:rPr>
                <w:rFonts w:ascii="仿宋_GB2312" w:hAnsi="仿宋_GB2312" w:cs="仿宋_GB2312" w:eastAsia="仿宋_GB2312"/>
              </w:rPr>
              <w:t>评审内容：①安全管理制度;②配置安全组织机构;③安全隐患排查、整改制度;④重大会议及敏感节点重点人员稳控等工作措施；⑤人身意外伤害保障措施及安全事故善后承诺。 评审标准：以上方案内容合理完整的计10分；方案有缺漏项每项扣2分，方案内容中有错误或欠完善的每处扣0.5分，扣完为止；未提供方案的不得分。（错误是指：项目名称或者项目编号或者方案内容与本项目要求不一致、无关、逻辑错误、语句不通顺有歧义、前后内容相互矛盾等；欠完善是指：非专门针对本项目或不适用项目特性的情形、虽阐述但内容中未包含具体实施细节及措施或缺少关键节点、不符合采购项目现场实际情况及需求、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①项目负责人：为本项目拟投入的项目负责人有3年以上（含3年）同类工作经验得5分；项目负责人有2-3年（含2年）同类工作经验得3分；项目负责人有1-2年（含1年）同类工作经验得1分；其余不得分。 注：（提供相应的证明材料及2026年1月以来拟派项目负责人在本单位缴纳任意一个月社保缴纳证明或劳动合同，未提供或有遗漏的不计入相应分值）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评审内容：针对本项目提出合理化建议。 评审标准：每提出一条合理化建议得2分，最多得4分。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项目团队稳定及能力承诺</w:t>
            </w:r>
          </w:p>
        </w:tc>
        <w:tc>
          <w:tcPr>
            <w:tcW w:type="dxa" w:w="2492"/>
          </w:tcPr>
          <w:p>
            <w:pPr>
              <w:pStyle w:val="null3"/>
            </w:pPr>
            <w:r>
              <w:rPr>
                <w:rFonts w:ascii="仿宋_GB2312" w:hAnsi="仿宋_GB2312" w:cs="仿宋_GB2312" w:eastAsia="仿宋_GB2312"/>
              </w:rPr>
              <w:t>（1）承诺中标后，非因不可抗力原因，不得更换响应文件中项目团队人员，得3分，未提供不得分。 （2）承诺如遇到不可抗力确需更换人员时，更换人员的资历不低于原人员，且按程序报采购人书面同意后方可更换，得3分，未提供不得分。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评审内容：①服务响应承诺；②服务质量承诺；③安全、文明工作承诺；④人员配置承诺；⑤保密承诺。 评审标准：方案包含以上五个完整章节得20分；缺一个章节扣4分，扣完为止。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提供供应商2023年1月至响应文件提交截止日类似项目业绩（以合同复印件为准），每提供一份业绩得5分，最高得15分。若提供虚假业绩，一经发现，按无效磋商处理。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