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908E78"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t>分项报价表（一次）</w:t>
      </w:r>
    </w:p>
    <w:p w14:paraId="25A5F4E5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kern w:val="0"/>
          <w:sz w:val="24"/>
        </w:rPr>
        <w:t xml:space="preserve">编号： </w:t>
      </w:r>
    </w:p>
    <w:p w14:paraId="2A9606E5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项目名称：</w:t>
      </w:r>
    </w:p>
    <w:tbl>
      <w:tblPr>
        <w:tblStyle w:val="4"/>
        <w:tblW w:w="96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2274"/>
        <w:gridCol w:w="4364"/>
        <w:gridCol w:w="1643"/>
      </w:tblGrid>
      <w:tr w14:paraId="0B07E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1" w:hRule="atLeast"/>
        </w:trPr>
        <w:tc>
          <w:tcPr>
            <w:tcW w:w="1346" w:type="dxa"/>
            <w:vAlign w:val="center"/>
          </w:tcPr>
          <w:p w14:paraId="3F04D5F1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2274" w:type="dxa"/>
            <w:vAlign w:val="center"/>
          </w:tcPr>
          <w:p w14:paraId="233D9E0E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报价内容</w:t>
            </w:r>
          </w:p>
        </w:tc>
        <w:tc>
          <w:tcPr>
            <w:tcW w:w="4364" w:type="dxa"/>
            <w:vAlign w:val="center"/>
          </w:tcPr>
          <w:p w14:paraId="02FFF28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综合单价（元/人/时）</w:t>
            </w:r>
          </w:p>
        </w:tc>
        <w:tc>
          <w:tcPr>
            <w:tcW w:w="1643" w:type="dxa"/>
            <w:vAlign w:val="center"/>
          </w:tcPr>
          <w:p w14:paraId="3CDEEE2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12ECD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6" w:hRule="atLeast"/>
        </w:trPr>
        <w:tc>
          <w:tcPr>
            <w:tcW w:w="1346" w:type="dxa"/>
            <w:vAlign w:val="center"/>
          </w:tcPr>
          <w:p w14:paraId="71FD6F53"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274" w:type="dxa"/>
            <w:vAlign w:val="center"/>
          </w:tcPr>
          <w:p w14:paraId="589923BE"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保安人员工时费</w:t>
            </w:r>
          </w:p>
        </w:tc>
        <w:tc>
          <w:tcPr>
            <w:tcW w:w="4364" w:type="dxa"/>
            <w:vAlign w:val="center"/>
          </w:tcPr>
          <w:p w14:paraId="3765B27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3" w:type="dxa"/>
            <w:vAlign w:val="center"/>
          </w:tcPr>
          <w:p w14:paraId="27FAE1D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2B8E6FD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361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lang w:val="en-US" w:eastAsia="zh-CN"/>
        </w:rPr>
        <w:t>注：</w:t>
      </w:r>
      <w:r>
        <w:rPr>
          <w:rFonts w:hint="eastAsia" w:cs="仿宋"/>
          <w:b/>
          <w:bCs/>
          <w:color w:val="auto"/>
          <w:sz w:val="18"/>
          <w:szCs w:val="18"/>
          <w:lang w:val="en-US" w:eastAsia="zh-CN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lang w:val="en-US" w:eastAsia="zh-CN"/>
        </w:rPr>
        <w:t>此表</w:t>
      </w:r>
      <w:r>
        <w:rPr>
          <w:rFonts w:hint="eastAsia" w:cs="仿宋"/>
          <w:b/>
          <w:bCs/>
          <w:color w:val="auto"/>
          <w:sz w:val="18"/>
          <w:szCs w:val="18"/>
          <w:lang w:val="en-US" w:eastAsia="zh-CN"/>
        </w:rPr>
        <w:t>综合单价</w:t>
      </w: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lang w:val="en-US" w:eastAsia="zh-CN"/>
        </w:rPr>
        <w:t>报价须与在系统填报的一次报价</w:t>
      </w:r>
      <w:r>
        <w:rPr>
          <w:rFonts w:hint="eastAsia" w:cs="仿宋"/>
          <w:b/>
          <w:bCs/>
          <w:color w:val="auto"/>
          <w:sz w:val="18"/>
          <w:szCs w:val="18"/>
          <w:lang w:val="en-US" w:eastAsia="zh-CN"/>
        </w:rPr>
        <w:t>保持</w:t>
      </w: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lang w:val="en-US" w:eastAsia="zh-CN"/>
        </w:rPr>
        <w:t>一致。</w:t>
      </w:r>
    </w:p>
    <w:p w14:paraId="25F5A0E3">
      <w:pPr>
        <w:pStyle w:val="2"/>
        <w:numPr>
          <w:ilvl w:val="0"/>
          <w:numId w:val="1"/>
        </w:numPr>
        <w:ind w:firstLine="723" w:firstLineChars="400"/>
        <w:rPr>
          <w:rFonts w:hint="eastAsia" w:ascii="仿宋" w:hAnsi="仿宋" w:eastAsia="仿宋" w:cs="仿宋"/>
          <w:b/>
          <w:bCs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lang w:val="en-US" w:eastAsia="zh-CN"/>
        </w:rPr>
        <w:t>供应商综合单价填写时应考虑人员工资、税收、设备等所有可能与本项目履约相关的费用。</w:t>
      </w:r>
    </w:p>
    <w:p w14:paraId="770152AF">
      <w:pPr>
        <w:pStyle w:val="2"/>
        <w:numPr>
          <w:ilvl w:val="0"/>
          <w:numId w:val="1"/>
        </w:numPr>
        <w:ind w:firstLine="723" w:firstLineChars="400"/>
        <w:rPr>
          <w:rFonts w:hint="eastAsia" w:ascii="仿宋" w:hAnsi="仿宋" w:eastAsia="仿宋" w:cs="仿宋"/>
          <w:b/>
          <w:bCs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lang w:val="en-US" w:eastAsia="zh-CN"/>
        </w:rPr>
        <w:t>综合单价限价为24元/人/时，超过此报价的按无效效应处理。</w:t>
      </w:r>
    </w:p>
    <w:p w14:paraId="0C11F6A6">
      <w:pPr>
        <w:pStyle w:val="2"/>
        <w:numPr>
          <w:ilvl w:val="-1"/>
          <w:numId w:val="0"/>
        </w:numPr>
        <w:ind w:firstLine="723" w:firstLineChars="400"/>
        <w:rPr>
          <w:rFonts w:hint="eastAsia" w:ascii="仿宋" w:hAnsi="仿宋" w:eastAsia="仿宋" w:cs="仿宋"/>
          <w:b/>
          <w:bCs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lang w:val="en-US" w:eastAsia="zh-CN"/>
        </w:rPr>
        <w:t>4、报价保留小数点后两位。</w:t>
      </w:r>
    </w:p>
    <w:p w14:paraId="45C746CC">
      <w:pPr>
        <w:pStyle w:val="2"/>
        <w:rPr>
          <w:rFonts w:hint="eastAsia" w:ascii="仿宋" w:hAnsi="仿宋" w:eastAsia="仿宋" w:cs="仿宋"/>
          <w:b/>
          <w:bCs/>
          <w:color w:val="auto"/>
          <w:sz w:val="18"/>
          <w:szCs w:val="18"/>
          <w:lang w:val="en-US" w:eastAsia="zh-CN"/>
        </w:rPr>
      </w:pPr>
    </w:p>
    <w:p w14:paraId="6C8E348B">
      <w:pPr>
        <w:rPr>
          <w:rFonts w:hint="eastAsia"/>
          <w:lang w:val="en-US" w:eastAsia="zh-CN"/>
        </w:rPr>
      </w:pPr>
    </w:p>
    <w:p w14:paraId="3406F4E7">
      <w:pPr>
        <w:rPr>
          <w:rFonts w:hint="default" w:asciiTheme="minorHAnsi" w:hAnsiTheme="minorHAnsi" w:eastAsiaTheme="minorEastAsia" w:cstheme="minorBidi"/>
          <w:b w:val="0"/>
          <w:bCs w:val="0"/>
          <w:color w:val="auto"/>
          <w:sz w:val="21"/>
          <w:szCs w:val="24"/>
          <w:lang w:val="en-US" w:eastAsia="zh-CN"/>
        </w:rPr>
      </w:pPr>
    </w:p>
    <w:p w14:paraId="0F76855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</w:p>
    <w:p w14:paraId="0D5E4F5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供应商名称（公章）：  </w:t>
      </w:r>
    </w:p>
    <w:p w14:paraId="2B82960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日  期：    </w:t>
      </w:r>
      <w:r>
        <w:rPr>
          <w:rFonts w:hint="eastAsia" w:ascii="仿宋" w:hAnsi="仿宋" w:eastAsia="仿宋" w:cs="仿宋"/>
          <w:color w:val="auto"/>
          <w:lang w:val="en-US" w:eastAsia="zh-CN"/>
        </w:rPr>
        <w:t xml:space="preserve">          </w:t>
      </w:r>
    </w:p>
    <w:p w14:paraId="7C91AEC2">
      <w:pP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br w:type="page"/>
      </w:r>
    </w:p>
    <w:p w14:paraId="2A3D865A"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t>分项报价表（最终）</w:t>
      </w:r>
    </w:p>
    <w:p w14:paraId="1716C406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kern w:val="0"/>
          <w:sz w:val="24"/>
        </w:rPr>
        <w:t xml:space="preserve">编号： </w:t>
      </w:r>
    </w:p>
    <w:p w14:paraId="1C0BB5A7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项目名称：</w:t>
      </w:r>
    </w:p>
    <w:tbl>
      <w:tblPr>
        <w:tblStyle w:val="3"/>
        <w:tblW w:w="96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2274"/>
        <w:gridCol w:w="4364"/>
        <w:gridCol w:w="1643"/>
      </w:tblGrid>
      <w:tr w14:paraId="54ADC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1" w:hRule="atLeast"/>
        </w:trPr>
        <w:tc>
          <w:tcPr>
            <w:tcW w:w="1346" w:type="dxa"/>
            <w:vAlign w:val="center"/>
          </w:tcPr>
          <w:p w14:paraId="0C1AC776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2274" w:type="dxa"/>
            <w:vAlign w:val="center"/>
          </w:tcPr>
          <w:p w14:paraId="2DAAF31E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报价内容</w:t>
            </w:r>
          </w:p>
        </w:tc>
        <w:tc>
          <w:tcPr>
            <w:tcW w:w="4364" w:type="dxa"/>
            <w:vAlign w:val="center"/>
          </w:tcPr>
          <w:p w14:paraId="297E418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综合单价（元/人/时）</w:t>
            </w:r>
          </w:p>
        </w:tc>
        <w:tc>
          <w:tcPr>
            <w:tcW w:w="1643" w:type="dxa"/>
            <w:vAlign w:val="center"/>
          </w:tcPr>
          <w:p w14:paraId="5A7D919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1FD7B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6" w:hRule="atLeast"/>
        </w:trPr>
        <w:tc>
          <w:tcPr>
            <w:tcW w:w="1346" w:type="dxa"/>
            <w:vAlign w:val="center"/>
          </w:tcPr>
          <w:p w14:paraId="6EB27CEB"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274" w:type="dxa"/>
            <w:vAlign w:val="center"/>
          </w:tcPr>
          <w:p w14:paraId="689CE404"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保安人员工时费</w:t>
            </w:r>
          </w:p>
        </w:tc>
        <w:tc>
          <w:tcPr>
            <w:tcW w:w="4364" w:type="dxa"/>
            <w:vAlign w:val="center"/>
          </w:tcPr>
          <w:p w14:paraId="076AB72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43" w:type="dxa"/>
            <w:vAlign w:val="center"/>
          </w:tcPr>
          <w:p w14:paraId="2C8BAF9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2C78F0F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auto"/>
          <w:sz w:val="18"/>
          <w:szCs w:val="18"/>
          <w:lang w:val="en-US" w:eastAsia="zh-CN"/>
        </w:rPr>
      </w:pPr>
    </w:p>
    <w:p w14:paraId="6DDD0E8D">
      <w:pPr>
        <w:pStyle w:val="2"/>
        <w:numPr>
          <w:ilvl w:val="-1"/>
          <w:numId w:val="0"/>
        </w:numPr>
        <w:ind w:firstLine="723" w:firstLineChars="400"/>
        <w:rPr>
          <w:rFonts w:hint="eastAsia" w:ascii="仿宋" w:hAnsi="仿宋" w:eastAsia="仿宋" w:cs="仿宋"/>
          <w:b/>
          <w:bCs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lang w:val="en-US" w:eastAsia="zh-CN"/>
        </w:rPr>
        <w:t>注：1、此表在上传响应文件时不提供，在最终报价时需填写并作为附件上传（此表综合单价须与在系统填报的二次报价一致）。</w:t>
      </w:r>
    </w:p>
    <w:p w14:paraId="49A791A0">
      <w:pPr>
        <w:pStyle w:val="2"/>
        <w:numPr>
          <w:ilvl w:val="-1"/>
          <w:numId w:val="0"/>
        </w:numPr>
        <w:ind w:firstLine="1084" w:firstLineChars="600"/>
        <w:rPr>
          <w:rFonts w:hint="eastAsia" w:ascii="仿宋" w:hAnsi="仿宋" w:eastAsia="仿宋" w:cs="仿宋"/>
          <w:b/>
          <w:bCs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lang w:val="en-US" w:eastAsia="zh-CN"/>
        </w:rPr>
        <w:t>2、供应商综合单价填写时应考虑人员工资、税收、设备等所有可能与本项目履约相关的费用。</w:t>
      </w:r>
    </w:p>
    <w:p w14:paraId="7DAA9155">
      <w:pPr>
        <w:pStyle w:val="2"/>
        <w:numPr>
          <w:ilvl w:val="-1"/>
          <w:numId w:val="0"/>
        </w:numPr>
        <w:ind w:firstLine="1084" w:firstLineChars="600"/>
        <w:rPr>
          <w:rFonts w:hint="default" w:ascii="仿宋" w:hAnsi="仿宋" w:eastAsia="仿宋" w:cs="仿宋"/>
          <w:b/>
          <w:bCs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lang w:val="en-US" w:eastAsia="zh-CN"/>
        </w:rPr>
        <w:t>3、综合单价限价为24元/人/时，超过此报价的按无效效应处理。</w:t>
      </w:r>
    </w:p>
    <w:p w14:paraId="653FCE87">
      <w:pPr>
        <w:pStyle w:val="2"/>
        <w:numPr>
          <w:ilvl w:val="-1"/>
          <w:numId w:val="0"/>
        </w:numPr>
        <w:ind w:firstLine="1084" w:firstLineChars="600"/>
        <w:rPr>
          <w:rFonts w:hint="eastAsia" w:ascii="仿宋" w:hAnsi="仿宋" w:eastAsia="仿宋" w:cs="仿宋"/>
          <w:b/>
          <w:bCs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18"/>
          <w:szCs w:val="18"/>
          <w:lang w:val="en-US" w:eastAsia="zh-CN"/>
        </w:rPr>
        <w:t>4、报价保留小数点后两位。</w:t>
      </w:r>
    </w:p>
    <w:p w14:paraId="5D657D3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</w:p>
    <w:p w14:paraId="22EF693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</w:p>
    <w:p w14:paraId="27C42AA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供应商名称（公章）：  </w:t>
      </w:r>
    </w:p>
    <w:p w14:paraId="5059EA5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>日  期：</w:t>
      </w:r>
      <w:r>
        <w:rPr>
          <w:rFonts w:hint="eastAsia" w:ascii="仿宋" w:hAnsi="仿宋" w:eastAsia="仿宋" w:cs="仿宋"/>
          <w:color w:val="auto"/>
          <w:lang w:val="en-US" w:eastAsia="zh-CN"/>
        </w:rPr>
        <w:t xml:space="preserve">       </w:t>
      </w:r>
    </w:p>
    <w:p w14:paraId="20DA800B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091F1A"/>
    <w:multiLevelType w:val="singleLevel"/>
    <w:tmpl w:val="C0091F1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F7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标书正文1"/>
    <w:basedOn w:val="1"/>
    <w:next w:val="2"/>
    <w:autoRedefine/>
    <w:qFormat/>
    <w:uiPriority w:val="0"/>
    <w:pPr>
      <w:autoSpaceDE w:val="0"/>
      <w:autoSpaceDN w:val="0"/>
      <w:spacing w:line="520" w:lineRule="exact"/>
      <w:ind w:firstLine="640" w:firstLineChars="200"/>
      <w:jc w:val="left"/>
    </w:pPr>
    <w:rPr>
      <w:rFonts w:ascii="仿宋" w:hAnsi="仿宋" w:eastAsia="仿宋" w:cs="仿宋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2026-08-27T10:40:17Z</dcterms:created>
  <dc:creator>Administrator</dc:creator>
  <cp:lastModifiedBy>doit</cp:lastModifiedBy>
  <dcterms:modified xsi:type="dcterms:W3CDTF">2026-08-27T10:40:54Z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eyJoZGlkIjoiZTlmZjU3ZjUxOWZkMWQyZTBlNDQ4MTNhOTIwZjAyOWYiLCJ1c2VySWQiOiI1NDQyNTk1OTUifQ==</vt:lpwstr>
  </property>
  <property fmtid="{D5CDD505-2E9C-101B-9397-08002B2CF9AE}" pid="4" name="ICV">
    <vt:lpwstr>47833364DA9C416AA256A6335CF5E346_12</vt:lpwstr>
  </property>
</Properties>
</file>