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03B1F">
      <w:pPr>
        <w:jc w:val="center"/>
        <w:outlineLvl w:val="0"/>
        <w:rPr>
          <w:rStyle w:val="7"/>
          <w:rFonts w:hint="eastAsia" w:cs="仿宋" w:asciiTheme="minorEastAsia" w:hAnsiTheme="minorEastAsia"/>
          <w:color w:val="auto"/>
          <w:spacing w:val="0"/>
          <w:sz w:val="36"/>
          <w:szCs w:val="36"/>
          <w:highlight w:val="none"/>
          <w:lang w:eastAsia="zh-CN"/>
        </w:rPr>
      </w:pPr>
    </w:p>
    <w:p w14:paraId="26D533D6">
      <w:pPr>
        <w:jc w:val="center"/>
        <w:outlineLvl w:val="0"/>
        <w:rPr>
          <w:rStyle w:val="7"/>
          <w:rFonts w:hint="eastAsia" w:cs="仿宋" w:asciiTheme="minorEastAsia" w:hAnsiTheme="minorEastAsia"/>
          <w:color w:val="auto"/>
          <w:spacing w:val="0"/>
          <w:sz w:val="36"/>
          <w:szCs w:val="36"/>
          <w:highlight w:val="none"/>
          <w:lang w:eastAsia="zh-CN"/>
        </w:rPr>
      </w:pPr>
    </w:p>
    <w:p w14:paraId="08A253FC">
      <w:pPr>
        <w:jc w:val="center"/>
        <w:outlineLvl w:val="0"/>
        <w:rPr>
          <w:rStyle w:val="7"/>
          <w:rFonts w:hint="eastAsia" w:cs="仿宋" w:asciiTheme="minorEastAsia" w:hAnsiTheme="minorEastAsia"/>
          <w:color w:val="auto"/>
          <w:spacing w:val="0"/>
          <w:sz w:val="36"/>
          <w:szCs w:val="36"/>
          <w:highlight w:val="none"/>
          <w:lang w:eastAsia="zh-CN"/>
        </w:rPr>
      </w:pPr>
    </w:p>
    <w:p w14:paraId="49DBAAAA">
      <w:pPr>
        <w:jc w:val="center"/>
        <w:outlineLvl w:val="0"/>
        <w:rPr>
          <w:rStyle w:val="7"/>
          <w:rFonts w:hint="eastAsia" w:cs="仿宋" w:asciiTheme="minorEastAsia" w:hAnsiTheme="minorEastAsia"/>
          <w:color w:val="auto"/>
          <w:spacing w:val="0"/>
          <w:sz w:val="36"/>
          <w:szCs w:val="36"/>
          <w:highlight w:val="none"/>
          <w:lang w:eastAsia="zh-CN"/>
        </w:rPr>
      </w:pPr>
    </w:p>
    <w:p w14:paraId="236F74D3">
      <w:pPr>
        <w:jc w:val="center"/>
        <w:outlineLvl w:val="0"/>
        <w:rPr>
          <w:rStyle w:val="7"/>
          <w:rFonts w:hint="eastAsia" w:cs="仿宋" w:asciiTheme="minorEastAsia" w:hAnsiTheme="minorEastAsia"/>
          <w:color w:val="auto"/>
          <w:spacing w:val="0"/>
          <w:sz w:val="36"/>
          <w:szCs w:val="36"/>
          <w:highlight w:val="none"/>
          <w:lang w:eastAsia="zh-CN"/>
        </w:rPr>
      </w:pPr>
    </w:p>
    <w:p w14:paraId="4C623586">
      <w:pPr>
        <w:jc w:val="center"/>
        <w:outlineLvl w:val="0"/>
        <w:rPr>
          <w:rStyle w:val="7"/>
          <w:rFonts w:hint="eastAsia" w:cs="仿宋" w:asciiTheme="minorEastAsia" w:hAnsiTheme="minorEastAsia"/>
          <w:color w:val="auto"/>
          <w:spacing w:val="0"/>
          <w:sz w:val="36"/>
          <w:szCs w:val="36"/>
          <w:highlight w:val="none"/>
          <w:lang w:eastAsia="zh-CN"/>
        </w:rPr>
      </w:pPr>
    </w:p>
    <w:p w14:paraId="2B389999">
      <w:pPr>
        <w:jc w:val="center"/>
        <w:outlineLvl w:val="0"/>
        <w:rPr>
          <w:rStyle w:val="7"/>
          <w:rFonts w:cs="仿宋" w:asciiTheme="minorEastAsia" w:hAnsiTheme="minorEastAsia" w:eastAsiaTheme="minorEastAsia"/>
          <w:color w:val="auto"/>
          <w:spacing w:val="0"/>
          <w:sz w:val="28"/>
          <w:highlight w:val="none"/>
        </w:rPr>
      </w:pPr>
      <w:bookmarkStart w:id="3" w:name="_GoBack"/>
      <w:bookmarkEnd w:id="3"/>
      <w:r>
        <w:rPr>
          <w:rStyle w:val="7"/>
          <w:rFonts w:hint="eastAsia" w:cs="仿宋" w:asciiTheme="minorEastAsia" w:hAnsiTheme="minorEastAsia"/>
          <w:color w:val="auto"/>
          <w:spacing w:val="0"/>
          <w:sz w:val="36"/>
          <w:szCs w:val="36"/>
          <w:highlight w:val="none"/>
          <w:lang w:eastAsia="zh-CN"/>
        </w:rPr>
        <w:t>五星街道2026年环卫保洁及绿化外包项目</w:t>
      </w:r>
      <w:r>
        <w:rPr>
          <w:rStyle w:val="7"/>
          <w:rFonts w:hint="eastAsia" w:cs="仿宋" w:asciiTheme="minorEastAsia" w:hAnsiTheme="minorEastAsia"/>
          <w:color w:val="auto"/>
          <w:spacing w:val="0"/>
          <w:sz w:val="36"/>
          <w:szCs w:val="36"/>
          <w:highlight w:val="none"/>
        </w:rPr>
        <w:t>合同</w:t>
      </w:r>
    </w:p>
    <w:p w14:paraId="4E2B3055">
      <w:pPr>
        <w:jc w:val="center"/>
        <w:outlineLvl w:val="0"/>
        <w:rPr>
          <w:rStyle w:val="7"/>
          <w:rFonts w:cs="仿宋" w:asciiTheme="minorEastAsia" w:hAnsiTheme="minorEastAsia" w:eastAsiaTheme="minorEastAsia"/>
          <w:color w:val="auto"/>
          <w:spacing w:val="0"/>
          <w:sz w:val="32"/>
          <w:highlight w:val="none"/>
        </w:rPr>
      </w:pPr>
      <w:r>
        <w:rPr>
          <w:rStyle w:val="7"/>
          <w:rFonts w:hint="eastAsia" w:cs="仿宋" w:asciiTheme="minorEastAsia" w:hAnsiTheme="minorEastAsia" w:eastAsiaTheme="minorEastAsia"/>
          <w:color w:val="auto"/>
          <w:spacing w:val="0"/>
          <w:sz w:val="28"/>
          <w:highlight w:val="none"/>
        </w:rPr>
        <w:t>（拟签订的合同</w:t>
      </w:r>
      <w:bookmarkStart w:id="0" w:name="_Hlt487972895"/>
      <w:bookmarkEnd w:id="0"/>
      <w:bookmarkStart w:id="1" w:name="_Toc216513788"/>
      <w:bookmarkStart w:id="2" w:name="_Toc487900382"/>
      <w:r>
        <w:rPr>
          <w:rStyle w:val="7"/>
          <w:rFonts w:hint="eastAsia" w:cs="仿宋" w:asciiTheme="minorEastAsia" w:hAnsiTheme="minorEastAsia" w:eastAsiaTheme="minorEastAsia"/>
          <w:color w:val="auto"/>
          <w:spacing w:val="0"/>
          <w:sz w:val="28"/>
          <w:highlight w:val="none"/>
        </w:rPr>
        <w:t>文本）</w:t>
      </w:r>
    </w:p>
    <w:bookmarkEnd w:id="1"/>
    <w:bookmarkEnd w:id="2"/>
    <w:p w14:paraId="548337E1">
      <w:pPr>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br w:type="page"/>
      </w:r>
    </w:p>
    <w:p w14:paraId="2B3B2382">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甲方（采购人）：</w:t>
      </w:r>
      <w:r>
        <w:rPr>
          <w:rFonts w:hint="eastAsia" w:cs="宋体" w:asciiTheme="minorEastAsia" w:hAnsiTheme="minorEastAsia"/>
          <w:color w:val="auto"/>
          <w:spacing w:val="0"/>
          <w:sz w:val="24"/>
          <w:szCs w:val="24"/>
          <w:highlight w:val="none"/>
          <w:u w:val="single"/>
        </w:rPr>
        <w:t xml:space="preserve">                                         </w:t>
      </w:r>
    </w:p>
    <w:p w14:paraId="383C91B9">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乙方（供应商）：</w:t>
      </w:r>
      <w:r>
        <w:rPr>
          <w:rFonts w:hint="eastAsia" w:cs="宋体" w:asciiTheme="minorEastAsia" w:hAnsiTheme="minorEastAsia"/>
          <w:color w:val="auto"/>
          <w:spacing w:val="0"/>
          <w:sz w:val="24"/>
          <w:szCs w:val="24"/>
          <w:highlight w:val="none"/>
          <w:u w:val="single"/>
        </w:rPr>
        <w:t xml:space="preserve">                                         </w:t>
      </w:r>
    </w:p>
    <w:p w14:paraId="271E4711">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根据《中华人民共和国民法典》及其他有关法律、法规，遵循平等、自愿、公平和诚信的原则，双方就下述项目范围与相关服务事项协商一致，订立本合同。</w:t>
      </w:r>
    </w:p>
    <w:p w14:paraId="0B6BBF8B">
      <w:pPr>
        <w:spacing w:line="360" w:lineRule="auto"/>
        <w:ind w:firstLine="200"/>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一、项目概况</w:t>
      </w:r>
    </w:p>
    <w:p w14:paraId="519A6BD2">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1.项目名称：</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3C860393">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2.项目地点：甲方指定地点。</w:t>
      </w:r>
    </w:p>
    <w:p w14:paraId="20445E6E">
      <w:pPr>
        <w:spacing w:line="360" w:lineRule="auto"/>
        <w:ind w:firstLine="489" w:firstLineChars="204"/>
        <w:rPr>
          <w:rFonts w:hint="default" w:cs="宋体" w:asciiTheme="minorEastAsia" w:hAnsiTheme="minorEastAsia" w:eastAsiaTheme="minorEastAsia"/>
          <w:color w:val="auto"/>
          <w:spacing w:val="0"/>
          <w:sz w:val="24"/>
          <w:szCs w:val="24"/>
          <w:highlight w:val="none"/>
          <w:lang w:val="en-US" w:eastAsia="zh-CN"/>
        </w:rPr>
      </w:pPr>
      <w:r>
        <w:rPr>
          <w:rFonts w:hint="eastAsia" w:cs="宋体" w:asciiTheme="minorEastAsia" w:hAnsiTheme="minorEastAsia"/>
          <w:color w:val="auto"/>
          <w:spacing w:val="0"/>
          <w:sz w:val="24"/>
          <w:szCs w:val="24"/>
          <w:highlight w:val="none"/>
        </w:rPr>
        <w:t>3.项目目标：</w:t>
      </w:r>
      <w:r>
        <w:rPr>
          <w:rFonts w:hint="eastAsia" w:cs="宋体" w:asciiTheme="minorEastAsia" w:hAnsiTheme="minorEastAsia"/>
          <w:color w:val="auto"/>
          <w:spacing w:val="0"/>
          <w:sz w:val="24"/>
          <w:szCs w:val="24"/>
          <w:highlight w:val="none"/>
          <w:u w:val="single"/>
          <w:lang w:val="en-US" w:eastAsia="zh-CN"/>
        </w:rPr>
        <w:t xml:space="preserve">              </w:t>
      </w:r>
      <w:r>
        <w:rPr>
          <w:rFonts w:hint="eastAsia" w:cs="宋体" w:asciiTheme="minorEastAsia" w:hAnsiTheme="minorEastAsia"/>
          <w:color w:val="auto"/>
          <w:spacing w:val="0"/>
          <w:sz w:val="24"/>
          <w:szCs w:val="24"/>
          <w:highlight w:val="none"/>
          <w:u w:val="none"/>
          <w:lang w:val="en-US" w:eastAsia="zh-CN"/>
        </w:rPr>
        <w:t>。</w:t>
      </w:r>
    </w:p>
    <w:p w14:paraId="7850A9F9">
      <w:pPr>
        <w:spacing w:line="360" w:lineRule="auto"/>
        <w:ind w:firstLine="200"/>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二、组成本合同的文件</w:t>
      </w:r>
    </w:p>
    <w:p w14:paraId="3C458B3C">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1.协议书；</w:t>
      </w:r>
    </w:p>
    <w:p w14:paraId="26DF8F1D">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2.中标通知书、投标文件、澄清、补充文件(或委托书)；</w:t>
      </w:r>
    </w:p>
    <w:p w14:paraId="76379D75">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3.相关服务建议书；</w:t>
      </w:r>
    </w:p>
    <w:p w14:paraId="30086D65">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4.附录，即：附表内相关服务的范围和内容；</w:t>
      </w:r>
    </w:p>
    <w:p w14:paraId="3AADAA69">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本合同签订后，双方依法签订的补充协议也是本合同文件的组成部分。</w:t>
      </w:r>
    </w:p>
    <w:p w14:paraId="3C566E3B">
      <w:pPr>
        <w:spacing w:line="360" w:lineRule="auto"/>
        <w:ind w:firstLine="200"/>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三、合同价款</w:t>
      </w:r>
    </w:p>
    <w:p w14:paraId="3E7571CD">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合同总金额(大写)：</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05F790E9">
      <w:pPr>
        <w:spacing w:line="360" w:lineRule="auto"/>
        <w:ind w:firstLine="480" w:firstLineChars="200"/>
        <w:rPr>
          <w:rFonts w:hint="default" w:cs="宋体" w:asciiTheme="minorEastAsia" w:hAnsiTheme="minorEastAsia" w:eastAsiaTheme="minorEastAsia"/>
          <w:b/>
          <w:bCs/>
          <w:color w:val="auto"/>
          <w:spacing w:val="0"/>
          <w:sz w:val="24"/>
          <w:szCs w:val="24"/>
          <w:highlight w:val="none"/>
          <w:lang w:val="en-US" w:eastAsia="zh-CN"/>
        </w:rPr>
      </w:pPr>
      <w:r>
        <w:rPr>
          <w:rFonts w:hint="eastAsia" w:cs="宋体" w:asciiTheme="minorEastAsia" w:hAnsiTheme="minorEastAsia"/>
          <w:color w:val="auto"/>
          <w:spacing w:val="0"/>
          <w:sz w:val="24"/>
          <w:szCs w:val="24"/>
          <w:highlight w:val="none"/>
        </w:rPr>
        <w:t>本合同为</w:t>
      </w:r>
      <w:r>
        <w:rPr>
          <w:rFonts w:hint="eastAsia" w:cs="宋体" w:asciiTheme="minorEastAsia" w:hAnsiTheme="minorEastAsia"/>
          <w:b/>
          <w:color w:val="auto"/>
          <w:spacing w:val="0"/>
          <w:sz w:val="24"/>
          <w:szCs w:val="24"/>
          <w:highlight w:val="none"/>
          <w:u w:val="single"/>
        </w:rPr>
        <w:t>固定</w:t>
      </w:r>
      <w:r>
        <w:rPr>
          <w:rFonts w:hint="eastAsia" w:cs="宋体" w:asciiTheme="minorEastAsia" w:hAnsiTheme="minorEastAsia"/>
          <w:b/>
          <w:color w:val="auto"/>
          <w:spacing w:val="0"/>
          <w:sz w:val="24"/>
          <w:szCs w:val="24"/>
          <w:highlight w:val="none"/>
          <w:u w:val="single"/>
          <w:lang w:val="en-US" w:eastAsia="zh-CN"/>
        </w:rPr>
        <w:t>总</w:t>
      </w:r>
      <w:r>
        <w:rPr>
          <w:rFonts w:hint="eastAsia" w:cs="宋体" w:asciiTheme="minorEastAsia" w:hAnsiTheme="minorEastAsia"/>
          <w:b/>
          <w:color w:val="auto"/>
          <w:spacing w:val="0"/>
          <w:sz w:val="24"/>
          <w:szCs w:val="24"/>
          <w:highlight w:val="none"/>
          <w:u w:val="single"/>
        </w:rPr>
        <w:t>价</w:t>
      </w:r>
      <w:r>
        <w:rPr>
          <w:rFonts w:hint="eastAsia" w:cs="宋体" w:asciiTheme="minorEastAsia" w:hAnsiTheme="minorEastAsia"/>
          <w:color w:val="auto"/>
          <w:spacing w:val="0"/>
          <w:sz w:val="24"/>
          <w:szCs w:val="24"/>
          <w:highlight w:val="none"/>
        </w:rPr>
        <w:t>合同,合同金额为本项目招标文件中所提出的工作范围及要求的全部内容，并达到相关政策规定及甲方验收标准而产生的所有费用，包括人员费用（人员工资、社会劳动保险、人身意外保险、劳保福利、周末法定节假日费用、夏季降温费及高温补助费、冬季取暖及补助费、工服费）、配置劳动工具费、设备配置及运营维护费（清扫保洁车辆加油、维修、水费、电费、保险、审车、耗材、带车作业造成的等一切运行费用成本费用，加水点维修费用）、绿化养护用水费、树木安全事故保险及赔偿费、车辆及机械使用相关费用、设施设备养护维修费、农药化肥养护用品费、垃圾清运费，一切因安全事故产生的费用、招标代理服务费、利润、税金、风险等本项目所需的全部费用。</w:t>
      </w:r>
    </w:p>
    <w:p w14:paraId="11B1D240">
      <w:pPr>
        <w:spacing w:line="360" w:lineRule="auto"/>
        <w:ind w:firstLine="200"/>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四、付款方式</w:t>
      </w:r>
    </w:p>
    <w:p w14:paraId="031F6855">
      <w:pPr>
        <w:spacing w:line="360" w:lineRule="auto"/>
        <w:ind w:firstLine="480" w:firstLineChars="200"/>
        <w:rPr>
          <w:rFonts w:hint="default" w:cs="宋体" w:asciiTheme="minorEastAsia" w:hAnsiTheme="minorEastAsia" w:eastAsiaTheme="minorEastAsia"/>
          <w:color w:val="auto"/>
          <w:spacing w:val="0"/>
          <w:sz w:val="24"/>
          <w:szCs w:val="24"/>
          <w:highlight w:val="none"/>
          <w:lang w:val="en-US" w:eastAsia="zh-CN"/>
        </w:rPr>
      </w:pPr>
      <w:r>
        <w:rPr>
          <w:rFonts w:hint="eastAsia" w:cs="宋体" w:asciiTheme="minorEastAsia" w:hAnsiTheme="minorEastAsia"/>
          <w:color w:val="auto"/>
          <w:spacing w:val="0"/>
          <w:sz w:val="24"/>
          <w:szCs w:val="24"/>
          <w:highlight w:val="none"/>
        </w:rPr>
        <w:t>1.付款</w:t>
      </w:r>
      <w:r>
        <w:rPr>
          <w:rFonts w:hint="eastAsia" w:cs="宋体" w:asciiTheme="minorEastAsia" w:hAnsiTheme="minorEastAsia"/>
          <w:color w:val="auto"/>
          <w:spacing w:val="0"/>
          <w:sz w:val="24"/>
          <w:szCs w:val="24"/>
          <w:highlight w:val="none"/>
          <w:lang w:val="en-US" w:eastAsia="zh-CN"/>
        </w:rPr>
        <w:t>方式</w:t>
      </w:r>
      <w:r>
        <w:rPr>
          <w:rFonts w:hint="eastAsia" w:cs="宋体" w:asciiTheme="minorEastAsia" w:hAnsiTheme="minorEastAsia"/>
          <w:color w:val="auto"/>
          <w:spacing w:val="0"/>
          <w:sz w:val="24"/>
          <w:szCs w:val="24"/>
          <w:highlight w:val="none"/>
        </w:rPr>
        <w:t>：</w:t>
      </w:r>
      <w:r>
        <w:rPr>
          <w:rFonts w:hint="default" w:cs="宋体" w:asciiTheme="minorEastAsia" w:hAnsiTheme="minorEastAsia" w:eastAsiaTheme="minorEastAsia"/>
          <w:color w:val="auto"/>
          <w:spacing w:val="0"/>
          <w:sz w:val="24"/>
          <w:szCs w:val="24"/>
          <w:highlight w:val="none"/>
          <w:lang w:val="en-US" w:eastAsia="zh-CN"/>
        </w:rPr>
        <w:t>按月支付，</w:t>
      </w:r>
      <w:r>
        <w:rPr>
          <w:rFonts w:hint="eastAsia" w:cs="宋体" w:asciiTheme="minorEastAsia" w:hAnsiTheme="minorEastAsia"/>
          <w:color w:val="auto"/>
          <w:spacing w:val="0"/>
          <w:sz w:val="24"/>
          <w:szCs w:val="24"/>
          <w:highlight w:val="none"/>
          <w:lang w:val="en-US" w:eastAsia="zh-CN"/>
        </w:rPr>
        <w:t>甲方</w:t>
      </w:r>
      <w:r>
        <w:rPr>
          <w:rFonts w:hint="default" w:cs="宋体" w:asciiTheme="minorEastAsia" w:hAnsiTheme="minorEastAsia" w:eastAsiaTheme="minorEastAsia"/>
          <w:color w:val="auto"/>
          <w:spacing w:val="0"/>
          <w:sz w:val="24"/>
          <w:szCs w:val="24"/>
          <w:highlight w:val="none"/>
          <w:lang w:val="en-US" w:eastAsia="zh-CN"/>
        </w:rPr>
        <w:t>日常检查</w:t>
      </w:r>
      <w:r>
        <w:rPr>
          <w:rFonts w:hint="eastAsia" w:cs="宋体" w:asciiTheme="minorEastAsia" w:hAnsiTheme="minorEastAsia"/>
          <w:color w:val="auto"/>
          <w:spacing w:val="0"/>
          <w:sz w:val="24"/>
          <w:szCs w:val="24"/>
          <w:highlight w:val="none"/>
          <w:lang w:val="en-US" w:eastAsia="zh-CN"/>
        </w:rPr>
        <w:t>乙方</w:t>
      </w:r>
      <w:r>
        <w:rPr>
          <w:rFonts w:hint="default" w:cs="宋体" w:asciiTheme="minorEastAsia" w:hAnsiTheme="minorEastAsia" w:eastAsiaTheme="minorEastAsia"/>
          <w:color w:val="auto"/>
          <w:spacing w:val="0"/>
          <w:sz w:val="24"/>
          <w:szCs w:val="24"/>
          <w:highlight w:val="none"/>
          <w:lang w:val="en-US" w:eastAsia="zh-CN"/>
        </w:rPr>
        <w:t>工作情况，量化考核打分，根据考核打分结果核定当月支付外包费金额。</w:t>
      </w:r>
      <w:r>
        <w:rPr>
          <w:rFonts w:hint="eastAsia" w:cs="宋体" w:asciiTheme="minorEastAsia" w:hAnsiTheme="minorEastAsia"/>
          <w:color w:val="auto"/>
          <w:spacing w:val="0"/>
          <w:sz w:val="24"/>
          <w:szCs w:val="24"/>
          <w:highlight w:val="none"/>
          <w:lang w:val="en-US" w:eastAsia="zh-CN"/>
        </w:rPr>
        <w:t>甲方</w:t>
      </w:r>
      <w:r>
        <w:rPr>
          <w:rFonts w:hint="default" w:cs="宋体" w:asciiTheme="minorEastAsia" w:hAnsiTheme="minorEastAsia" w:eastAsiaTheme="minorEastAsia"/>
          <w:color w:val="auto"/>
          <w:spacing w:val="0"/>
          <w:sz w:val="24"/>
          <w:szCs w:val="24"/>
          <w:highlight w:val="none"/>
          <w:lang w:val="en-US" w:eastAsia="zh-CN"/>
        </w:rPr>
        <w:t>出具考核核算单，经</w:t>
      </w:r>
      <w:r>
        <w:rPr>
          <w:rFonts w:hint="eastAsia" w:cs="宋体" w:asciiTheme="minorEastAsia" w:hAnsiTheme="minorEastAsia"/>
          <w:color w:val="auto"/>
          <w:spacing w:val="0"/>
          <w:sz w:val="24"/>
          <w:szCs w:val="24"/>
          <w:highlight w:val="none"/>
          <w:lang w:val="en-US" w:eastAsia="zh-CN"/>
        </w:rPr>
        <w:t>乙方</w:t>
      </w:r>
      <w:r>
        <w:rPr>
          <w:rFonts w:hint="default" w:cs="宋体" w:asciiTheme="minorEastAsia" w:hAnsiTheme="minorEastAsia" w:eastAsiaTheme="minorEastAsia"/>
          <w:color w:val="auto"/>
          <w:spacing w:val="0"/>
          <w:sz w:val="24"/>
          <w:szCs w:val="24"/>
          <w:highlight w:val="none"/>
          <w:lang w:val="en-US" w:eastAsia="zh-CN"/>
        </w:rPr>
        <w:t>确认后，</w:t>
      </w:r>
      <w:r>
        <w:rPr>
          <w:rFonts w:hint="eastAsia" w:cs="宋体" w:asciiTheme="minorEastAsia" w:hAnsiTheme="minorEastAsia"/>
          <w:color w:val="auto"/>
          <w:spacing w:val="0"/>
          <w:sz w:val="24"/>
          <w:szCs w:val="24"/>
          <w:highlight w:val="none"/>
          <w:lang w:val="en-US" w:eastAsia="zh-CN"/>
        </w:rPr>
        <w:t>乙方</w:t>
      </w:r>
      <w:r>
        <w:rPr>
          <w:rFonts w:hint="default" w:cs="宋体" w:asciiTheme="minorEastAsia" w:hAnsiTheme="minorEastAsia" w:eastAsiaTheme="minorEastAsia"/>
          <w:color w:val="auto"/>
          <w:spacing w:val="0"/>
          <w:sz w:val="24"/>
          <w:szCs w:val="24"/>
          <w:highlight w:val="none"/>
          <w:lang w:val="en-US" w:eastAsia="zh-CN"/>
        </w:rPr>
        <w:t>提供合法合规发票，</w:t>
      </w:r>
      <w:r>
        <w:rPr>
          <w:rFonts w:hint="eastAsia" w:cs="宋体" w:asciiTheme="minorEastAsia" w:hAnsiTheme="minorEastAsia"/>
          <w:color w:val="auto"/>
          <w:spacing w:val="0"/>
          <w:sz w:val="24"/>
          <w:szCs w:val="24"/>
          <w:highlight w:val="none"/>
          <w:lang w:val="en-US" w:eastAsia="zh-CN"/>
        </w:rPr>
        <w:t>甲方</w:t>
      </w:r>
      <w:r>
        <w:rPr>
          <w:rFonts w:hint="default" w:cs="宋体" w:asciiTheme="minorEastAsia" w:hAnsiTheme="minorEastAsia" w:eastAsiaTheme="minorEastAsia"/>
          <w:color w:val="auto"/>
          <w:spacing w:val="0"/>
          <w:sz w:val="24"/>
          <w:szCs w:val="24"/>
          <w:highlight w:val="none"/>
          <w:lang w:val="en-US" w:eastAsia="zh-CN"/>
        </w:rPr>
        <w:t>按照转账方式将服务费转入</w:t>
      </w:r>
      <w:r>
        <w:rPr>
          <w:rFonts w:hint="eastAsia" w:cs="宋体" w:asciiTheme="minorEastAsia" w:hAnsiTheme="minorEastAsia"/>
          <w:color w:val="auto"/>
          <w:spacing w:val="0"/>
          <w:sz w:val="24"/>
          <w:szCs w:val="24"/>
          <w:highlight w:val="none"/>
          <w:lang w:val="en-US" w:eastAsia="zh-CN"/>
        </w:rPr>
        <w:t>乙方</w:t>
      </w:r>
      <w:r>
        <w:rPr>
          <w:rFonts w:hint="default" w:cs="宋体" w:asciiTheme="minorEastAsia" w:hAnsiTheme="minorEastAsia" w:eastAsiaTheme="minorEastAsia"/>
          <w:color w:val="auto"/>
          <w:spacing w:val="0"/>
          <w:sz w:val="24"/>
          <w:szCs w:val="24"/>
          <w:highlight w:val="none"/>
          <w:lang w:val="en-US" w:eastAsia="zh-CN"/>
        </w:rPr>
        <w:t>提供账号。</w:t>
      </w:r>
    </w:p>
    <w:p w14:paraId="6B5D2DDA">
      <w:pPr>
        <w:spacing w:line="360" w:lineRule="auto"/>
        <w:ind w:firstLine="480" w:firstLineChars="200"/>
        <w:rPr>
          <w:rFonts w:hint="eastAsia" w:cs="宋体" w:asciiTheme="minorEastAsia" w:hAnsiTheme="minorEastAsia"/>
          <w:color w:val="auto"/>
          <w:spacing w:val="0"/>
          <w:sz w:val="24"/>
          <w:szCs w:val="24"/>
          <w:highlight w:val="none"/>
          <w:lang w:val="en-US" w:eastAsia="zh-CN"/>
        </w:rPr>
      </w:pPr>
      <w:r>
        <w:rPr>
          <w:rFonts w:hint="eastAsia" w:cs="宋体" w:asciiTheme="minorEastAsia" w:hAnsiTheme="minorEastAsia"/>
          <w:color w:val="auto"/>
          <w:spacing w:val="0"/>
          <w:sz w:val="24"/>
          <w:szCs w:val="24"/>
          <w:highlight w:val="none"/>
          <w:lang w:val="en-US" w:eastAsia="zh-CN"/>
        </w:rPr>
        <w:t>付款要求：当月最终得分=100分-当月累计扣分当月扣款金额=（100分-当月最终得分）×1000元/分当月应付服务费=（年度总服务费÷12）-当月扣款金额结算流程：</w:t>
      </w:r>
    </w:p>
    <w:p w14:paraId="1853E3DC">
      <w:pPr>
        <w:spacing w:line="360" w:lineRule="auto"/>
        <w:ind w:firstLine="480" w:firstLineChars="200"/>
        <w:rPr>
          <w:rFonts w:hint="default" w:cs="宋体" w:asciiTheme="minorEastAsia" w:hAnsiTheme="minorEastAsia" w:eastAsiaTheme="minorEastAsia"/>
          <w:color w:val="auto"/>
          <w:spacing w:val="0"/>
          <w:sz w:val="24"/>
          <w:szCs w:val="24"/>
          <w:highlight w:val="none"/>
          <w:lang w:val="en-US" w:eastAsia="zh-CN"/>
        </w:rPr>
      </w:pPr>
      <w:r>
        <w:rPr>
          <w:rFonts w:hint="eastAsia" w:cs="宋体" w:asciiTheme="minorEastAsia" w:hAnsiTheme="minorEastAsia"/>
          <w:color w:val="auto"/>
          <w:spacing w:val="0"/>
          <w:sz w:val="24"/>
          <w:szCs w:val="24"/>
          <w:highlight w:val="none"/>
          <w:lang w:val="en-US" w:eastAsia="zh-CN"/>
        </w:rPr>
        <w:t>每月5日前，采购人向中标单位出具上月考核结果及扣款通知书；中标单位核对无误后开具等额增值税专用发票，采购人在10个工作日内支付上月应付服务费。特殊说明：当月扣款金额超过当月应付服务费的，超出部分从后续月份服务费中累计扣除；年度总扣款不超过年度总服务费的30%。</w:t>
      </w:r>
    </w:p>
    <w:p w14:paraId="195C98B7">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2.支付方式：银行对公转账。</w:t>
      </w:r>
    </w:p>
    <w:p w14:paraId="26AC1554">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3.乙方账户信息如下：</w:t>
      </w:r>
    </w:p>
    <w:p w14:paraId="323C4BA8">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账户名称：</w:t>
      </w:r>
    </w:p>
    <w:p w14:paraId="0AFC0543">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账户：</w:t>
      </w:r>
    </w:p>
    <w:p w14:paraId="67CEE361">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开户行：</w:t>
      </w:r>
    </w:p>
    <w:p w14:paraId="0BA4C11D">
      <w:pPr>
        <w:pStyle w:val="4"/>
        <w:spacing w:beforeAutospacing="0" w:afterAutospacing="0"/>
        <w:ind w:firstLine="480" w:firstLineChars="200"/>
        <w:jc w:val="both"/>
        <w:rPr>
          <w:rFonts w:hint="eastAsia" w:cs="宋体" w:asciiTheme="minorEastAsia" w:hAnsiTheme="minorEastAsia" w:eastAsiaTheme="minorEastAsia"/>
          <w:b/>
          <w:bCs/>
          <w:color w:val="auto"/>
          <w:spacing w:val="0"/>
          <w:szCs w:val="24"/>
          <w:highlight w:val="none"/>
        </w:rPr>
      </w:pPr>
      <w:r>
        <w:rPr>
          <w:rFonts w:hint="eastAsia" w:cs="宋体" w:asciiTheme="minorEastAsia" w:hAnsiTheme="minorEastAsia" w:eastAsiaTheme="minorEastAsia"/>
          <w:b w:val="0"/>
          <w:bCs w:val="0"/>
          <w:color w:val="auto"/>
          <w:spacing w:val="0"/>
          <w:szCs w:val="24"/>
          <w:highlight w:val="none"/>
        </w:rPr>
        <w:t>4.结算单位：甲方负责结算，在付款前，必须开具等额发票给甲方。</w:t>
      </w:r>
    </w:p>
    <w:p w14:paraId="5171616D">
      <w:pPr>
        <w:pStyle w:val="4"/>
        <w:spacing w:beforeAutospacing="0" w:afterAutospacing="0"/>
        <w:jc w:val="both"/>
        <w:rPr>
          <w:rFonts w:cs="宋体" w:asciiTheme="minorEastAsia" w:hAnsiTheme="minorEastAsia" w:eastAsiaTheme="minorEastAsia"/>
          <w:color w:val="auto"/>
          <w:spacing w:val="0"/>
          <w:szCs w:val="24"/>
          <w:highlight w:val="none"/>
        </w:rPr>
      </w:pPr>
      <w:r>
        <w:rPr>
          <w:rFonts w:hint="eastAsia" w:cs="宋体" w:asciiTheme="minorEastAsia" w:hAnsiTheme="minorEastAsia" w:eastAsiaTheme="minorEastAsia"/>
          <w:b/>
          <w:bCs/>
          <w:color w:val="auto"/>
          <w:spacing w:val="0"/>
          <w:szCs w:val="24"/>
          <w:highlight w:val="none"/>
        </w:rPr>
        <w:t>五、服务期</w:t>
      </w:r>
    </w:p>
    <w:p w14:paraId="2B5D7171">
      <w:pPr>
        <w:pStyle w:val="4"/>
        <w:spacing w:beforeAutospacing="0" w:afterAutospacing="0"/>
        <w:ind w:firstLine="480" w:firstLineChars="200"/>
        <w:jc w:val="both"/>
        <w:rPr>
          <w:rFonts w:hint="eastAsia" w:cs="宋体" w:asciiTheme="minorEastAsia" w:hAnsiTheme="minorEastAsia" w:eastAsiaTheme="minorEastAsia"/>
          <w:color w:val="auto"/>
          <w:spacing w:val="0"/>
          <w:szCs w:val="24"/>
          <w:highlight w:val="none"/>
          <w:lang w:eastAsia="zh-CN"/>
        </w:rPr>
      </w:pPr>
      <w:r>
        <w:rPr>
          <w:rFonts w:hint="eastAsia" w:cs="宋体" w:asciiTheme="minorEastAsia" w:hAnsiTheme="minorEastAsia" w:eastAsiaTheme="minorEastAsia"/>
          <w:color w:val="auto"/>
          <w:spacing w:val="0"/>
          <w:szCs w:val="24"/>
          <w:highlight w:val="none"/>
        </w:rPr>
        <w:t>自合同签订之日起</w:t>
      </w:r>
      <w:r>
        <w:rPr>
          <w:rFonts w:hint="eastAsia" w:cs="宋体" w:asciiTheme="minorEastAsia" w:hAnsiTheme="minorEastAsia" w:eastAsiaTheme="minorEastAsia"/>
          <w:color w:val="auto"/>
          <w:spacing w:val="0"/>
          <w:szCs w:val="24"/>
          <w:highlight w:val="none"/>
          <w:lang w:val="en-US" w:eastAsia="zh-CN"/>
        </w:rPr>
        <w:t>一年</w:t>
      </w:r>
      <w:r>
        <w:rPr>
          <w:rFonts w:hint="eastAsia" w:cs="宋体" w:asciiTheme="minorEastAsia" w:hAnsiTheme="minorEastAsia" w:eastAsiaTheme="minorEastAsia"/>
          <w:color w:val="auto"/>
          <w:spacing w:val="0"/>
          <w:szCs w:val="24"/>
          <w:highlight w:val="none"/>
          <w:lang w:eastAsia="zh-CN"/>
        </w:rPr>
        <w:t>。</w:t>
      </w:r>
    </w:p>
    <w:p w14:paraId="06BE1FC3">
      <w:pPr>
        <w:spacing w:line="360" w:lineRule="auto"/>
        <w:rPr>
          <w:rFonts w:cs="宋体" w:asciiTheme="minorEastAsia" w:hAnsiTheme="minorEastAsia"/>
          <w:color w:val="auto"/>
          <w:spacing w:val="0"/>
          <w:sz w:val="24"/>
          <w:szCs w:val="24"/>
          <w:highlight w:val="none"/>
          <w:u w:val="none"/>
        </w:rPr>
      </w:pPr>
      <w:r>
        <w:rPr>
          <w:rFonts w:hint="eastAsia" w:cs="宋体" w:asciiTheme="minorEastAsia" w:hAnsiTheme="minorEastAsia"/>
          <w:b/>
          <w:bCs/>
          <w:color w:val="auto"/>
          <w:spacing w:val="0"/>
          <w:sz w:val="24"/>
          <w:szCs w:val="24"/>
          <w:highlight w:val="none"/>
        </w:rPr>
        <w:t>六、委托内容</w:t>
      </w:r>
    </w:p>
    <w:p w14:paraId="503FFA48">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(一)保洁服务内容</w:t>
      </w:r>
    </w:p>
    <w:p w14:paraId="3DA1A571">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1</w:t>
      </w:r>
      <w:r>
        <w:rPr>
          <w:rFonts w:hint="eastAsia" w:cs="宋体" w:asciiTheme="minorEastAsia" w:hAnsiTheme="minorEastAsia"/>
          <w:b w:val="0"/>
          <w:bCs w:val="0"/>
          <w:color w:val="auto"/>
          <w:spacing w:val="0"/>
          <w:sz w:val="24"/>
          <w:szCs w:val="24"/>
          <w:highlight w:val="none"/>
          <w:lang w:eastAsia="zh-CN"/>
        </w:rPr>
        <w:t>.</w:t>
      </w:r>
      <w:r>
        <w:rPr>
          <w:rFonts w:hint="eastAsia" w:cs="宋体" w:asciiTheme="minorEastAsia" w:hAnsiTheme="minorEastAsia"/>
          <w:b w:val="0"/>
          <w:bCs w:val="0"/>
          <w:color w:val="auto"/>
          <w:spacing w:val="0"/>
          <w:sz w:val="24"/>
          <w:szCs w:val="24"/>
          <w:highlight w:val="none"/>
        </w:rPr>
        <w:t>甲方需提供环卫作业车辆供乙方使用，使用期间一切运营费用由乙方承担。</w:t>
      </w:r>
    </w:p>
    <w:p w14:paraId="0934D9A4">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2</w:t>
      </w:r>
      <w:r>
        <w:rPr>
          <w:rFonts w:hint="eastAsia" w:cs="宋体" w:asciiTheme="minorEastAsia" w:hAnsiTheme="minorEastAsia"/>
          <w:b w:val="0"/>
          <w:bCs w:val="0"/>
          <w:color w:val="auto"/>
          <w:spacing w:val="0"/>
          <w:sz w:val="24"/>
          <w:szCs w:val="24"/>
          <w:highlight w:val="none"/>
          <w:lang w:eastAsia="zh-CN"/>
        </w:rPr>
        <w:t>.</w:t>
      </w:r>
      <w:r>
        <w:rPr>
          <w:rFonts w:hint="eastAsia" w:cs="宋体" w:asciiTheme="minorEastAsia" w:hAnsiTheme="minorEastAsia"/>
          <w:b w:val="0"/>
          <w:bCs w:val="0"/>
          <w:color w:val="auto"/>
          <w:spacing w:val="0"/>
          <w:sz w:val="24"/>
          <w:szCs w:val="24"/>
          <w:highlight w:val="none"/>
        </w:rPr>
        <w:t>承包区域内所有市政道路红线内(含人行道、快慢行车道、绿化带等)的清扫、保洁、洒水、冲洗及清扫保洁产生垃圾的收集清运工作(含大件垃圾清运,除建筑垃圾外)。</w:t>
      </w:r>
    </w:p>
    <w:p w14:paraId="2E7775D4">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3</w:t>
      </w:r>
      <w:r>
        <w:rPr>
          <w:rFonts w:hint="eastAsia" w:cs="宋体" w:asciiTheme="minorEastAsia" w:hAnsiTheme="minorEastAsia"/>
          <w:b w:val="0"/>
          <w:bCs w:val="0"/>
          <w:color w:val="auto"/>
          <w:spacing w:val="0"/>
          <w:sz w:val="24"/>
          <w:szCs w:val="24"/>
          <w:highlight w:val="none"/>
          <w:lang w:eastAsia="zh-CN"/>
        </w:rPr>
        <w:t>.</w:t>
      </w:r>
      <w:r>
        <w:rPr>
          <w:rFonts w:hint="eastAsia" w:cs="宋体" w:asciiTheme="minorEastAsia" w:hAnsiTheme="minorEastAsia"/>
          <w:b w:val="0"/>
          <w:bCs w:val="0"/>
          <w:color w:val="auto"/>
          <w:spacing w:val="0"/>
          <w:sz w:val="24"/>
          <w:szCs w:val="24"/>
          <w:highlight w:val="none"/>
        </w:rPr>
        <w:t>承包区域可视范围内的道路隔车带、公共绿地、树坑的环卫保洁、垃圾收集及野广告清理工作。</w:t>
      </w:r>
    </w:p>
    <w:p w14:paraId="461B2266">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4</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承包区域内果皮箱、保洁工具箱、灭烟柱的保洁清洗及周边垃圾收集，道路可视范围内另行散落生活垃圾的收集，路牌、灯杆等市政设施的保洁、野广告清除等工作。</w:t>
      </w:r>
    </w:p>
    <w:p w14:paraId="6D30C91A">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5</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区域内冬季清雪除冰及后续清运处理工作。</w:t>
      </w:r>
    </w:p>
    <w:p w14:paraId="4A3517D5">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6</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清除因不可抗力造成的垃圾</w:t>
      </w:r>
      <w:r>
        <w:rPr>
          <w:rFonts w:hint="eastAsia" w:cs="宋体" w:asciiTheme="minorEastAsia" w:hAnsiTheme="minorEastAsia"/>
          <w:b w:val="0"/>
          <w:bCs w:val="0"/>
          <w:color w:val="auto"/>
          <w:spacing w:val="0"/>
          <w:sz w:val="24"/>
          <w:szCs w:val="24"/>
          <w:highlight w:val="none"/>
          <w:lang w:eastAsia="zh-CN"/>
        </w:rPr>
        <w:t>抛撒</w:t>
      </w:r>
      <w:r>
        <w:rPr>
          <w:rFonts w:hint="eastAsia" w:cs="宋体" w:asciiTheme="minorEastAsia" w:hAnsiTheme="minorEastAsia"/>
          <w:b w:val="0"/>
          <w:bCs w:val="0"/>
          <w:color w:val="auto"/>
          <w:spacing w:val="0"/>
          <w:sz w:val="24"/>
          <w:szCs w:val="24"/>
          <w:highlight w:val="none"/>
        </w:rPr>
        <w:t>、暴雨洪水造成的积水垃圾等(包括交通事故)。</w:t>
      </w:r>
    </w:p>
    <w:p w14:paraId="34109382">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(二)公厕服务内容</w:t>
      </w:r>
    </w:p>
    <w:p w14:paraId="6E30460C">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1</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区域内公共卫生间的管理工作，包含看护、保洁、小型维修养护、清污、水电费缴纳等。</w:t>
      </w:r>
    </w:p>
    <w:p w14:paraId="7337D01B">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2</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数字化城管等相关投诉的处理。</w:t>
      </w:r>
    </w:p>
    <w:p w14:paraId="5BDFB8DD">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3</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贯彻落实高新区“厕所革命”、“效能革命”、“以克论净”、“治污减霾”等工作的相关要求。</w:t>
      </w:r>
    </w:p>
    <w:p w14:paraId="24793736">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(三)绿化服务内容</w:t>
      </w:r>
    </w:p>
    <w:p w14:paraId="7C354CB1">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1</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承包区域内浇水、施肥、修剪、整形、除杂草、苗木补植、病虫害防治、病媒防治、松土、高台土清理(按照规定落土低于道牙10cm)、绿地植物冲洗、绿地清掏(冲洗清掏符合治污减霾要求)及保洁、绿化养护作业产生的垃圾清理。</w:t>
      </w:r>
    </w:p>
    <w:p w14:paraId="3A55EADA">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2</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承包区域内公共设施的维护与保养。</w:t>
      </w:r>
    </w:p>
    <w:p w14:paraId="1013488D">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3</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数字化城管、路长制相关工作，河长制相关工作，治污减霾相关工作，病媒防治工作，数字化投诉、12345市民热线投诉的处理等。</w:t>
      </w:r>
    </w:p>
    <w:p w14:paraId="31DEA612">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4</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采取相应养护措施维护现有绿化苗木长势良好，并保障区域内道路绿化区域不出现缺株断垄、死苗留置、黄土裸露等现象。</w:t>
      </w:r>
    </w:p>
    <w:p w14:paraId="567CD8D6">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5</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冬季清除积雪积冰工作，夏季</w:t>
      </w:r>
      <w:r>
        <w:rPr>
          <w:rFonts w:hint="eastAsia" w:cs="宋体" w:asciiTheme="minorEastAsia" w:hAnsiTheme="minorEastAsia"/>
          <w:b w:val="0"/>
          <w:bCs w:val="0"/>
          <w:color w:val="auto"/>
          <w:spacing w:val="0"/>
          <w:sz w:val="24"/>
          <w:szCs w:val="24"/>
          <w:highlight w:val="none"/>
          <w:lang w:eastAsia="zh-CN"/>
        </w:rPr>
        <w:t>抗旱</w:t>
      </w:r>
      <w:r>
        <w:rPr>
          <w:rFonts w:hint="eastAsia" w:cs="宋体" w:asciiTheme="minorEastAsia" w:hAnsiTheme="minorEastAsia"/>
          <w:b w:val="0"/>
          <w:bCs w:val="0"/>
          <w:color w:val="auto"/>
          <w:spacing w:val="0"/>
          <w:sz w:val="24"/>
          <w:szCs w:val="24"/>
          <w:highlight w:val="none"/>
        </w:rPr>
        <w:t>防汛工作，冬季落叶清掏、落土、修剪、冬灌工作。</w:t>
      </w:r>
    </w:p>
    <w:p w14:paraId="07DB53DB">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6</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清除整理因不可抗力造成的倒树、断枝、垃圾</w:t>
      </w:r>
      <w:r>
        <w:rPr>
          <w:rFonts w:hint="eastAsia" w:cs="宋体" w:asciiTheme="minorEastAsia" w:hAnsiTheme="minorEastAsia"/>
          <w:b w:val="0"/>
          <w:bCs w:val="0"/>
          <w:color w:val="auto"/>
          <w:spacing w:val="0"/>
          <w:sz w:val="24"/>
          <w:szCs w:val="24"/>
          <w:highlight w:val="none"/>
          <w:lang w:eastAsia="zh-CN"/>
        </w:rPr>
        <w:t>抛撒</w:t>
      </w:r>
      <w:r>
        <w:rPr>
          <w:rFonts w:hint="eastAsia" w:cs="宋体" w:asciiTheme="minorEastAsia" w:hAnsiTheme="minorEastAsia"/>
          <w:b w:val="0"/>
          <w:bCs w:val="0"/>
          <w:color w:val="auto"/>
          <w:spacing w:val="0"/>
          <w:sz w:val="24"/>
          <w:szCs w:val="24"/>
          <w:highlight w:val="none"/>
        </w:rPr>
        <w:t>、暴雨洪水造成的积水垃圾等(包括交通事故)。</w:t>
      </w:r>
    </w:p>
    <w:p w14:paraId="0C972625">
      <w:pPr>
        <w:spacing w:line="360" w:lineRule="auto"/>
        <w:ind w:firstLine="480" w:firstLineChars="200"/>
        <w:rPr>
          <w:rFonts w:hint="eastAsia" w:cs="宋体" w:asciiTheme="minorEastAsia" w:hAnsiTheme="minorEastAsia"/>
          <w:b/>
          <w:bCs/>
          <w:color w:val="auto"/>
          <w:spacing w:val="0"/>
          <w:sz w:val="24"/>
          <w:szCs w:val="24"/>
          <w:highlight w:val="none"/>
        </w:rPr>
      </w:pPr>
      <w:r>
        <w:rPr>
          <w:rFonts w:hint="eastAsia" w:cs="宋体" w:asciiTheme="minorEastAsia" w:hAnsiTheme="minorEastAsia"/>
          <w:b w:val="0"/>
          <w:bCs w:val="0"/>
          <w:color w:val="auto"/>
          <w:spacing w:val="0"/>
          <w:sz w:val="24"/>
          <w:szCs w:val="24"/>
          <w:highlight w:val="none"/>
        </w:rPr>
        <w:t>7</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甲方安排的其它工作。</w:t>
      </w:r>
    </w:p>
    <w:p w14:paraId="4CAF10EA">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lang w:val="en-US" w:eastAsia="zh-CN"/>
        </w:rPr>
        <w:t>七</w:t>
      </w:r>
      <w:r>
        <w:rPr>
          <w:rFonts w:hint="eastAsia" w:cs="宋体" w:asciiTheme="minorEastAsia" w:hAnsiTheme="minorEastAsia"/>
          <w:b/>
          <w:bCs/>
          <w:color w:val="auto"/>
          <w:spacing w:val="0"/>
          <w:sz w:val="24"/>
          <w:szCs w:val="24"/>
          <w:highlight w:val="none"/>
        </w:rPr>
        <w:t>、质量保证</w:t>
      </w:r>
    </w:p>
    <w:p w14:paraId="2CC9F67F">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1</w:t>
      </w:r>
      <w:r>
        <w:rPr>
          <w:rFonts w:hint="eastAsia" w:cs="宋体" w:asciiTheme="minorEastAsia" w:hAnsiTheme="minorEastAsia"/>
          <w:b w:val="0"/>
          <w:bCs w:val="0"/>
          <w:color w:val="auto"/>
          <w:spacing w:val="0"/>
          <w:sz w:val="24"/>
          <w:szCs w:val="24"/>
          <w:highlight w:val="none"/>
          <w:lang w:val="en-US" w:eastAsia="zh-CN"/>
        </w:rPr>
        <w:t>.</w:t>
      </w:r>
      <w:r>
        <w:rPr>
          <w:rFonts w:hint="eastAsia" w:cs="宋体" w:asciiTheme="minorEastAsia" w:hAnsiTheme="minorEastAsia"/>
          <w:b w:val="0"/>
          <w:bCs w:val="0"/>
          <w:color w:val="auto"/>
          <w:spacing w:val="0"/>
          <w:sz w:val="24"/>
          <w:szCs w:val="24"/>
          <w:highlight w:val="none"/>
        </w:rPr>
        <w:t>安全服务应符合国家有关规范。</w:t>
      </w:r>
    </w:p>
    <w:p w14:paraId="41E3F511">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rPr>
        <w:t>2</w:t>
      </w:r>
      <w:r>
        <w:rPr>
          <w:rFonts w:hint="eastAsia" w:cs="宋体" w:asciiTheme="minorEastAsia" w:hAnsiTheme="minorEastAsia"/>
          <w:b w:val="0"/>
          <w:bCs w:val="0"/>
          <w:color w:val="auto"/>
          <w:spacing w:val="0"/>
          <w:sz w:val="24"/>
          <w:szCs w:val="24"/>
          <w:highlight w:val="none"/>
          <w:lang w:val="en-US" w:eastAsia="zh-CN"/>
        </w:rPr>
        <w:t>.乙方</w:t>
      </w:r>
      <w:r>
        <w:rPr>
          <w:rFonts w:hint="eastAsia" w:cs="宋体" w:asciiTheme="minorEastAsia" w:hAnsiTheme="minorEastAsia"/>
          <w:b w:val="0"/>
          <w:bCs w:val="0"/>
          <w:color w:val="auto"/>
          <w:spacing w:val="0"/>
          <w:sz w:val="24"/>
          <w:szCs w:val="24"/>
          <w:highlight w:val="none"/>
        </w:rPr>
        <w:t>应根据服务方案规范及服务质量要求进行服务工作，</w:t>
      </w:r>
      <w:r>
        <w:rPr>
          <w:rFonts w:hint="eastAsia" w:cs="宋体" w:asciiTheme="minorEastAsia" w:hAnsiTheme="minorEastAsia"/>
          <w:b w:val="0"/>
          <w:bCs w:val="0"/>
          <w:color w:val="auto"/>
          <w:spacing w:val="0"/>
          <w:sz w:val="24"/>
          <w:szCs w:val="24"/>
          <w:highlight w:val="none"/>
          <w:lang w:val="en-US" w:eastAsia="zh-CN"/>
        </w:rPr>
        <w:t>甲方</w:t>
      </w:r>
      <w:r>
        <w:rPr>
          <w:rFonts w:hint="eastAsia" w:cs="宋体" w:asciiTheme="minorEastAsia" w:hAnsiTheme="minorEastAsia"/>
          <w:b w:val="0"/>
          <w:bCs w:val="0"/>
          <w:color w:val="auto"/>
          <w:spacing w:val="0"/>
          <w:sz w:val="24"/>
          <w:szCs w:val="24"/>
          <w:highlight w:val="none"/>
        </w:rPr>
        <w:t>在服务过程中起到配合、监督及管理的作用。</w:t>
      </w:r>
    </w:p>
    <w:p w14:paraId="3A1C5132">
      <w:pPr>
        <w:spacing w:line="360" w:lineRule="auto"/>
        <w:ind w:firstLine="480" w:firstLineChars="200"/>
        <w:rPr>
          <w:rFonts w:hint="eastAsia"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lang w:val="en-US" w:eastAsia="zh-CN"/>
        </w:rPr>
        <w:t>3</w:t>
      </w:r>
      <w:r>
        <w:rPr>
          <w:rFonts w:hint="eastAsia" w:cs="宋体" w:asciiTheme="minorEastAsia" w:hAnsiTheme="minorEastAsia"/>
          <w:b w:val="0"/>
          <w:bCs w:val="0"/>
          <w:color w:val="auto"/>
          <w:spacing w:val="0"/>
          <w:sz w:val="24"/>
          <w:szCs w:val="24"/>
          <w:highlight w:val="none"/>
          <w:lang w:eastAsia="zh-CN"/>
        </w:rPr>
        <w:t>.</w:t>
      </w:r>
      <w:r>
        <w:rPr>
          <w:rFonts w:hint="eastAsia" w:cs="宋体" w:asciiTheme="minorEastAsia" w:hAnsiTheme="minorEastAsia"/>
          <w:b w:val="0"/>
          <w:bCs w:val="0"/>
          <w:color w:val="auto"/>
          <w:spacing w:val="0"/>
          <w:sz w:val="24"/>
          <w:szCs w:val="24"/>
          <w:highlight w:val="none"/>
        </w:rPr>
        <w:t>在服务期内，乙方应遵守相关安全规定，严格按安全标准组织服务，采取必要的安全防护措施，消除事故隐患。乙方履行本合同造成的任何损害(包括但不限于人员、车辆的安全法律责任)均由服务单位自行承担，一切与甲方无关。</w:t>
      </w:r>
    </w:p>
    <w:p w14:paraId="664571B2">
      <w:pPr>
        <w:spacing w:line="360" w:lineRule="auto"/>
        <w:ind w:firstLine="480" w:firstLineChars="200"/>
        <w:rPr>
          <w:rFonts w:cs="宋体" w:asciiTheme="minorEastAsia" w:hAnsiTheme="minorEastAsia"/>
          <w:b w:val="0"/>
          <w:bCs w:val="0"/>
          <w:color w:val="auto"/>
          <w:spacing w:val="0"/>
          <w:sz w:val="24"/>
          <w:szCs w:val="24"/>
          <w:highlight w:val="none"/>
        </w:rPr>
      </w:pPr>
      <w:r>
        <w:rPr>
          <w:rFonts w:hint="eastAsia" w:cs="宋体" w:asciiTheme="minorEastAsia" w:hAnsiTheme="minorEastAsia"/>
          <w:b w:val="0"/>
          <w:bCs w:val="0"/>
          <w:color w:val="auto"/>
          <w:spacing w:val="0"/>
          <w:sz w:val="24"/>
          <w:szCs w:val="24"/>
          <w:highlight w:val="none"/>
          <w:lang w:val="en-US" w:eastAsia="zh-CN"/>
        </w:rPr>
        <w:t>4.</w:t>
      </w:r>
      <w:r>
        <w:rPr>
          <w:rFonts w:hint="eastAsia" w:cs="宋体" w:asciiTheme="minorEastAsia" w:hAnsiTheme="minorEastAsia"/>
          <w:b w:val="0"/>
          <w:bCs w:val="0"/>
          <w:color w:val="auto"/>
          <w:spacing w:val="0"/>
          <w:sz w:val="24"/>
          <w:szCs w:val="24"/>
          <w:highlight w:val="none"/>
        </w:rPr>
        <w:t>乙方应严格执行服务要求，如遇</w:t>
      </w:r>
      <w:r>
        <w:rPr>
          <w:rFonts w:hint="eastAsia" w:cs="宋体" w:asciiTheme="minorEastAsia" w:hAnsiTheme="minorEastAsia"/>
          <w:b w:val="0"/>
          <w:bCs w:val="0"/>
          <w:color w:val="auto"/>
          <w:spacing w:val="0"/>
          <w:sz w:val="24"/>
          <w:szCs w:val="24"/>
          <w:highlight w:val="none"/>
          <w:lang w:val="en-US" w:eastAsia="zh-CN"/>
        </w:rPr>
        <w:t>甲方</w:t>
      </w:r>
      <w:r>
        <w:rPr>
          <w:rFonts w:hint="eastAsia" w:cs="宋体" w:asciiTheme="minorEastAsia" w:hAnsiTheme="minorEastAsia"/>
          <w:b w:val="0"/>
          <w:bCs w:val="0"/>
          <w:color w:val="auto"/>
          <w:spacing w:val="0"/>
          <w:sz w:val="24"/>
          <w:szCs w:val="24"/>
          <w:highlight w:val="none"/>
        </w:rPr>
        <w:t>随机抽查发现未按服务要求执行的，处以</w:t>
      </w:r>
      <w:r>
        <w:rPr>
          <w:rFonts w:hint="eastAsia" w:cs="宋体" w:asciiTheme="minorEastAsia" w:hAnsiTheme="minorEastAsia"/>
          <w:b w:val="0"/>
          <w:bCs w:val="0"/>
          <w:color w:val="auto"/>
          <w:spacing w:val="0"/>
          <w:sz w:val="24"/>
          <w:szCs w:val="24"/>
          <w:highlight w:val="none"/>
          <w:lang w:val="en-US" w:eastAsia="zh-CN"/>
        </w:rPr>
        <w:t>相应</w:t>
      </w:r>
      <w:r>
        <w:rPr>
          <w:rFonts w:hint="eastAsia" w:cs="宋体" w:asciiTheme="minorEastAsia" w:hAnsiTheme="minorEastAsia"/>
          <w:b w:val="0"/>
          <w:bCs w:val="0"/>
          <w:color w:val="auto"/>
          <w:spacing w:val="0"/>
          <w:sz w:val="24"/>
          <w:szCs w:val="24"/>
          <w:highlight w:val="none"/>
        </w:rPr>
        <w:t>罚款，具体以甲方要求为准。</w:t>
      </w:r>
    </w:p>
    <w:p w14:paraId="2EA6D9CD">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九、</w:t>
      </w:r>
      <w:r>
        <w:rPr>
          <w:rFonts w:hint="eastAsia" w:cs="宋体" w:asciiTheme="minorEastAsia" w:hAnsiTheme="minorEastAsia"/>
          <w:b/>
          <w:color w:val="auto"/>
          <w:spacing w:val="0"/>
          <w:sz w:val="24"/>
          <w:szCs w:val="24"/>
          <w:highlight w:val="none"/>
        </w:rPr>
        <w:t>验收</w:t>
      </w:r>
    </w:p>
    <w:p w14:paraId="0E9AC885">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w:t>
      </w:r>
      <w:r>
        <w:rPr>
          <w:rFonts w:hint="eastAsia" w:cs="宋体" w:asciiTheme="minorEastAsia" w:hAnsiTheme="minorEastAsia"/>
          <w:color w:val="auto"/>
          <w:spacing w:val="0"/>
          <w:sz w:val="24"/>
          <w:szCs w:val="24"/>
          <w:highlight w:val="none"/>
          <w:u w:val="none"/>
          <w:lang w:val="en-US" w:eastAsia="zh-CN"/>
        </w:rPr>
        <w:t>符合国家、行业相关法律法规及采购人需求</w:t>
      </w:r>
      <w:r>
        <w:rPr>
          <w:rFonts w:hint="eastAsia" w:cs="宋体" w:asciiTheme="minorEastAsia" w:hAnsiTheme="minorEastAsia"/>
          <w:color w:val="auto"/>
          <w:spacing w:val="0"/>
          <w:sz w:val="24"/>
          <w:szCs w:val="24"/>
          <w:highlight w:val="none"/>
          <w:u w:val="none"/>
        </w:rPr>
        <w:t>。</w:t>
      </w:r>
    </w:p>
    <w:p w14:paraId="14B4384C">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2.采购人进行验收，若认为验收不合格，供应商应重新调整且进行重新验收。</w:t>
      </w:r>
    </w:p>
    <w:p w14:paraId="47385A9C">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3.验收依据：</w:t>
      </w:r>
    </w:p>
    <w:p w14:paraId="6CF9DEE8">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①本项目招标文件、投标文件；</w:t>
      </w:r>
    </w:p>
    <w:p w14:paraId="10F33344">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②本合同及附件文本；</w:t>
      </w:r>
    </w:p>
    <w:p w14:paraId="6DB19F3F">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③合同签订时国家及行业现行的标准和技术规范。</w:t>
      </w:r>
    </w:p>
    <w:p w14:paraId="328A2D57">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④供应商应向采购人提交项目实施过程中的所有资料，以便采购人日后管理和维护。</w:t>
      </w:r>
    </w:p>
    <w:p w14:paraId="2A9DE3AC">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十、技术要求</w:t>
      </w:r>
    </w:p>
    <w:p w14:paraId="10BC89F3">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满足招标文件中采购内容及技术要求。</w:t>
      </w:r>
    </w:p>
    <w:p w14:paraId="07C69EF9">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十一、知识产权</w:t>
      </w:r>
    </w:p>
    <w:p w14:paraId="7E8A0EC2">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1.乙方根据本合同取得的成果资料的著作权及其他相关知识产权属甲方所有。未经甲方同意，乙方不得公开发表、使用或向任何第三方提供上述成果资料。</w:t>
      </w:r>
    </w:p>
    <w:p w14:paraId="3605AFFA">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2.乙方所提交的成果资料不应存在任何瑕疵，乙方应保证甲方免于遭受因第三方提起侵权索赔而产生的任何损失。如果任何第三方向甲方提起侵权索赔，乙方应负责与之进行交涉，并承担由此引起的一切责任。</w:t>
      </w:r>
    </w:p>
    <w:p w14:paraId="30CEE2CE">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十二、双方的权利和义务</w:t>
      </w:r>
    </w:p>
    <w:p w14:paraId="37C3454C">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（一）甲方的权利和义务</w:t>
      </w:r>
    </w:p>
    <w:p w14:paraId="7060410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委派专门人员对乙方及服务人员的工作每日进行监督、检查和指导，对存在问题列入限时督办整改。有权向乙方要求调换不适合在甲方工作的服务人员，更换三次以上的，甲方有权解除协议，并支付更换服务人员实际工作天数的服务费。因乙方工作失职造成甲方财产损失，甲方有权要求乙方赔偿。</w:t>
      </w:r>
    </w:p>
    <w:p w14:paraId="3E04E11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甲方有权要求乙方服务人员遵守甲方的规章制度，并对甲方相关信息资料进行保密。</w:t>
      </w:r>
    </w:p>
    <w:p w14:paraId="712498F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甲方对乙方提出的安全问题应及时、认真研究解决，采取必要的改进和防范措施。</w:t>
      </w:r>
    </w:p>
    <w:p w14:paraId="215440D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4</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甲方对乙方服务人员履行职责的行为予以支持、配合，尊重和保障服务人员的合法权益。</w:t>
      </w:r>
    </w:p>
    <w:p w14:paraId="05535499">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5</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甲方有权对乙方配备的服务人员进行审核，乙方如更换服务人员，应征得甲方同意后更换。</w:t>
      </w:r>
    </w:p>
    <w:p w14:paraId="63F44396">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6</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甲方应按协议约定及时向乙方支付服务费用。</w:t>
      </w:r>
    </w:p>
    <w:p w14:paraId="68824925">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甲方有权根据省、市上级相关规定，及时修订道路清扫保洁考核标准，按道路等级考核结算项目服务费用。</w:t>
      </w:r>
    </w:p>
    <w:p w14:paraId="79EBB50D">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8</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甲方不预付服务费，乙方承包道路保洁劳务期间所产生的保洁费用由乙方承担。甲方对中标单位的工作质量进行监督检查，并按照管理办法和考核标准对乙方进行考核。</w:t>
      </w:r>
    </w:p>
    <w:p w14:paraId="2CE0A374">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9</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如遇重大接待、卫生检查及应急预案的紧急启动，甲方有权调用车辆，并监督乙方对甲方资产的使用情况。</w:t>
      </w:r>
    </w:p>
    <w:p w14:paraId="400876BB">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10</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为提升高新区市容环境整体形象，有权要求乙方以统一标准自行采购保洁工人及其他人员的工作服装(含：春秋两套、夏季两套、冬季防寒服(棉大衣)一套、雨衣一套、反光背心、红袖章)，根据承包单位核定人数制作，由承包方承担费用，在签订承包协议前配置完毕，甲方采取不定期方式进行监督考核。</w:t>
      </w:r>
    </w:p>
    <w:p w14:paraId="7BA013D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核定因市政施工、交通事故及不可抗力造成的环卫设施设备的损失并予以补充。</w:t>
      </w:r>
    </w:p>
    <w:p w14:paraId="68A9395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乙方连续三次以上对督办整改问题不予执行或执行不力，且警告无效者，甲方有权终止本协议。</w:t>
      </w:r>
    </w:p>
    <w:p w14:paraId="6A653BC7">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甲方有权对本协议涉及附件根据实际情况变化进行补充修订。</w:t>
      </w:r>
    </w:p>
    <w:p w14:paraId="45E4B337">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14</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甲方对设施设备的使用有权监督，以保证按规定操作，乙方没有按照要求操作的，甲方有权书面通知乙方限期改正，乙方拒不改正的，甲方可根据考核结果按照具体情形每次扣除当月保洁费的5%-10%。</w:t>
      </w:r>
    </w:p>
    <w:p w14:paraId="27811566">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15</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审核乙方上报的管理方案、应急方案、安全文明管理办法等规章制度是否合理可行，提供技术指导和修改意见。</w:t>
      </w:r>
    </w:p>
    <w:p w14:paraId="0DD5006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16</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各项对乙方的处罚及扣款在月底核算当月费用时直接扣除。</w:t>
      </w:r>
    </w:p>
    <w:p w14:paraId="110D254F">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有权对乙方环卫工人的工资、福利、保险、工具的发放和配备进行监督和检查，如遇乙方拒绝对环卫工人履行的工资、福利、保险、工具发放和配备，或在配备过程中弄虚作假，不按文件执行的，甲方有权追责。</w:t>
      </w:r>
    </w:p>
    <w:p w14:paraId="41979EB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18</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甲方根据实际情况可以分派乙方临时任务，乙方应按照甲方的要求保质保量完成工作。</w:t>
      </w:r>
    </w:p>
    <w:p w14:paraId="03584D94">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19</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承包协议签订后，甲方现已采购的所有环卫工具、设施和设备移交乙方使用，产权归甲方所有，乙方仅享有使用权，在合同期满后，甲方移交的环卫工具、设施和设备乙方需保质保量交付甲方，损耗品不在计算范围。</w:t>
      </w:r>
    </w:p>
    <w:p w14:paraId="3EC1AF7B">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color w:val="auto"/>
          <w:spacing w:val="0"/>
          <w:sz w:val="24"/>
          <w:szCs w:val="24"/>
          <w:highlight w:val="none"/>
        </w:rPr>
        <w:t>（二）乙方的权利和义务</w:t>
      </w:r>
    </w:p>
    <w:p w14:paraId="4D37F95D">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应按协议配备足额服务人员，负责协议范围内的保洁清扫工作，确保五星街道2025年环卫保洁及公厕管理、绿化养护项目的安全稳定，保证文明、高效的履行服务职责，负责对乙方服务人员的教育、培训和管理以及人员调整和休假安排。工作过渡期间，甲方前期雇佣的相关人员由乙方全部接收，劳动雇佣关系转移至乙方，乙方应在服务人员中确定一名项目负责人，项目负责人负责与甲方的联系沟通。（乙方项目负责人：</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联系电话：</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4A3ECA9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乙方可以决定公司的机构设置、人事任免和专业技术人员的聘任，依照有关规定奖惩、招用职工和辞退违纪职工。</w:t>
      </w:r>
    </w:p>
    <w:p w14:paraId="7043EF6B">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制定内部分配制度，在符合法律规定的范围内自选工资形式。</w:t>
      </w:r>
    </w:p>
    <w:p w14:paraId="466D124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4</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未经甲方同意，乙方不得擅自变更本保洁在投标文件中认定的承包范围。</w:t>
      </w:r>
    </w:p>
    <w:p w14:paraId="62115FE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5</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乙方对签订协议区域必须自行保洁，不得转让、拆分、改变；如出现转让、拆分等情况，甲方有权立即终止承包协议。</w:t>
      </w:r>
    </w:p>
    <w:p w14:paraId="1DAC2CA5">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6</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为确保保洁质量，乙方应组织一支技术骨干队伍，建立严格的质量管理体系，操作规范，成效突出。</w:t>
      </w:r>
    </w:p>
    <w:p w14:paraId="135B6885">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负责对保洁工人进行安全教育，岗前培训，提供安全作业的一切措施，并承担相应的安全责任及费用。</w:t>
      </w:r>
    </w:p>
    <w:p w14:paraId="0DA7A1F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8</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服从甲方制定的保洁管理标准和考核评分办法等相关规定。</w:t>
      </w:r>
    </w:p>
    <w:p w14:paraId="7F03DAD4">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9</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配合甲方完成高新区重大检查审核工作。</w:t>
      </w:r>
    </w:p>
    <w:p w14:paraId="05ADF400">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10</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合法从事承包经营，响应政策号召及西安市和高新区相关领导部门的管理规定。</w:t>
      </w:r>
    </w:p>
    <w:p w14:paraId="26A210B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建立体系齐全的内部管理机制体制及管理架构，报甲方审核后严格执行，保障高水平管理效能。</w:t>
      </w:r>
    </w:p>
    <w:p w14:paraId="3A3EF42F">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制定切实可行的管理方案、应急方案、安全文明管理办法等规章制度，报甲方审核后严格执行。</w:t>
      </w:r>
    </w:p>
    <w:p w14:paraId="51AE8EC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制定符合实际工作需要、科学合理可行的清扫保洁方案，设置管理及清扫保洁网格，人员配置明确，报甲方审核后严格执行。</w:t>
      </w:r>
    </w:p>
    <w:p w14:paraId="008084E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14</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乙方需建立工人工资专项账户，不得拖欠工人工资，同时加强对人员的管理，一切劳资纠纷隐患，必须主动积极性协调处理，不得推诿，绝不允许发生员工上访事件。</w:t>
      </w:r>
    </w:p>
    <w:p w14:paraId="774AB347">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16</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承担所属公司员工的工资(不低于西安市城市管理局规定的最低工资)及与承包经营直接相关的成本费用。</w:t>
      </w:r>
    </w:p>
    <w:p w14:paraId="375EA9A8">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必须依照国家有关规定，按期如数缴纳应缴纳的各种税、费和统筹基金。</w:t>
      </w:r>
    </w:p>
    <w:p w14:paraId="3345490C">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18</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制定具体规章制度，实施合理措施，定期组织员工、专业司机学习业务、安全知识和交通法规，进行业务培训、安全教育，严格要求员工安全作业操作，保证员工及国家财产的安全并形成材料定期上报甲方。</w:t>
      </w:r>
    </w:p>
    <w:p w14:paraId="244B59F7">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19</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应严格遵守甲方规定的车辆管理制度，如甲方在考核中发现乙方在网格化作业范围外用车、用油，倒卖水、油发生，违规作业，将依据甲方车辆考核细则条款扣除乙方相应月承包费用，情节严重移送公安机关处理。</w:t>
      </w:r>
    </w:p>
    <w:p w14:paraId="305A1629">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20</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进行道路保洁。日常人员出勤不得低于定编人员总数的95%，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14:paraId="0D90EFB0">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乙方每日完成道路普扫工作，未完成道路普扫、道路漏扫、垃圾收集不及时和其他空挡时间出现保洁不到位情况，甲方在取证后直接给予通报问责。</w:t>
      </w:r>
    </w:p>
    <w:p w14:paraId="75EFB95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必须遵循安全作业和文明作业的规定，在履行本协议的过程中，采取严格的安全防范措施。对于清扫、保洁过程中发生的一切人身伤亡事故及其他损害，由乙方自行承担所有责任和费用，并上报甲方。若造成甲方因此而承担有关法律责任，乙方除应赔偿因此造成的一切损失外，甲方有权单方面解除本协议。</w:t>
      </w:r>
    </w:p>
    <w:p w14:paraId="3335CAB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乙方必须为员工购买人身意外伤害保险。</w:t>
      </w:r>
    </w:p>
    <w:p w14:paraId="622E962D">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24</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严格遵守并执行甲方的质量标准和考核办法，服从甲方对环境卫生质量的检查监督，切实采取有效措施保证清扫保洁质量符合甲方考核标准。</w:t>
      </w:r>
    </w:p>
    <w:p w14:paraId="769FE76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25</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按期完成本协议规定的工作内容和各项临时任务。有义务配合甲方遇重大接待、卫生检查、及应急预案的紧急启动时车辆、人员的集中调配。</w:t>
      </w:r>
    </w:p>
    <w:p w14:paraId="5640BD9D">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26</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备有物资仓库，生产物资需满足日常作业需求和突发事件应急需求储备;物资仓库需满足相关规定和标准，杜绝安全隐患。</w:t>
      </w:r>
    </w:p>
    <w:p w14:paraId="43C09BE5">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乙方保洁工器具须按规定存入保洁工具箱，严禁将工器具乱堆乱放。</w:t>
      </w:r>
    </w:p>
    <w:p w14:paraId="2C90E68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28</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乙方不得在道路、绿化带内私自摆放垃圾桶、设置临时垃圾点，垃圾随产随清。</w:t>
      </w:r>
    </w:p>
    <w:p w14:paraId="458BABE2">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29</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本项目拟派项目负责人不得随意更换，乙方如需更换需经甲方同意。如甲方在协议履行过程中对项目负责人不满意，通知乙方更换后，乙方需在5日内更换。</w:t>
      </w:r>
    </w:p>
    <w:p w14:paraId="59A6E964">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30</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乙方配备的环卫车辆及设备以保障承包单位项目实施方案的机械化程度及清扫保洁效果。</w:t>
      </w:r>
    </w:p>
    <w:p w14:paraId="6A004DA3">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31</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积极响应、贯彻落实高新区环境卫生工作的相关要求。</w:t>
      </w:r>
    </w:p>
    <w:p w14:paraId="0F3CE274">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32</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清理垃圾、野广告、城乡结合部生活垃圾相关费用包含在保洁单平米报价费用内，不做单独支付，乙方在日常巡检中发现上述问题须自行及时处理。</w:t>
      </w:r>
    </w:p>
    <w:p w14:paraId="58690A0F">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33</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乙方须配备应急队伍，配备相应的应急车辆和应急工具，处理应急事件，应急预案启动时，甲方有权调派使用，处理非本项目整改问题的相关费用另行计算，不包含在本项目承包费用中。</w:t>
      </w:r>
    </w:p>
    <w:p w14:paraId="30357160">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w:t>
      </w:r>
      <w:r>
        <w:rPr>
          <w:rFonts w:hint="eastAsia" w:cs="宋体" w:asciiTheme="minorEastAsia" w:hAnsiTheme="minorEastAsia"/>
          <w:color w:val="auto"/>
          <w:spacing w:val="0"/>
          <w:sz w:val="24"/>
          <w:szCs w:val="24"/>
          <w:highlight w:val="none"/>
          <w:lang w:val="en-US" w:eastAsia="zh-CN"/>
        </w:rPr>
        <w:t>4.</w:t>
      </w:r>
      <w:r>
        <w:rPr>
          <w:rFonts w:hint="eastAsia" w:cs="宋体" w:asciiTheme="minorEastAsia" w:hAnsiTheme="minorEastAsia"/>
          <w:color w:val="auto"/>
          <w:spacing w:val="0"/>
          <w:sz w:val="24"/>
          <w:szCs w:val="24"/>
          <w:highlight w:val="none"/>
        </w:rPr>
        <w:t>接受甲方的管理、监督、检查和考核，对甲方发出的整改通知，应及时按甲方的要求进行整改。乙方无正当理由拒绝整改时，甲方可以另行委托他人予以整改，所发生的费用由乙方承担。</w:t>
      </w:r>
    </w:p>
    <w:p w14:paraId="08ACCB2F">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35</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为确保精细化管理水平，乙方须配备符合交通部门规定的中小型垃圾清运车辆，按照西安市生活垃圾分类“三统一”工作要求，专用于承包服务范围生活垃圾的分类收运，服务范围区域垃圾日产日清。</w:t>
      </w:r>
    </w:p>
    <w:p w14:paraId="57D32F6A">
      <w:pPr>
        <w:spacing w:line="360" w:lineRule="auto"/>
        <w:ind w:firstLine="480" w:firstLineChars="200"/>
        <w:rPr>
          <w:rFonts w:hint="eastAsia"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36乙方必须加强对所辖区域的保洁工作进行日常巡视检查，及时解决处理所存在的问题，并形成管理闭环。</w:t>
      </w:r>
    </w:p>
    <w:p w14:paraId="0B34161C">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37</w:t>
      </w:r>
      <w:r>
        <w:rPr>
          <w:rFonts w:hint="eastAsia" w:cs="宋体" w:asciiTheme="minorEastAsia" w:hAnsiTheme="minorEastAsia"/>
          <w:color w:val="auto"/>
          <w:spacing w:val="0"/>
          <w:sz w:val="24"/>
          <w:szCs w:val="24"/>
          <w:highlight w:val="none"/>
          <w:lang w:val="en-US" w:eastAsia="zh-CN"/>
        </w:rPr>
        <w:t>.</w:t>
      </w:r>
      <w:r>
        <w:rPr>
          <w:rFonts w:hint="eastAsia" w:cs="宋体" w:asciiTheme="minorEastAsia" w:hAnsiTheme="minorEastAsia"/>
          <w:color w:val="auto"/>
          <w:spacing w:val="0"/>
          <w:sz w:val="24"/>
          <w:szCs w:val="24"/>
          <w:highlight w:val="none"/>
        </w:rPr>
        <w:t>乙方应向甲方提供保洁员花名册和网格化管理图，遇有人员变化时应及时变更信息，并向甲方提供备案。</w:t>
      </w:r>
    </w:p>
    <w:p w14:paraId="2DE28481">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十三、保密</w:t>
      </w:r>
    </w:p>
    <w:p w14:paraId="12A97483">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乙方及其工作人员应对成果资料和在合同履行过程中了解到的涉及甲方商业秘密的资料以及其他尚未公开的有关信息承担保密义务，并采取相应的保密措施。乙方应承担的保密义务包括但不限于：</w:t>
      </w:r>
    </w:p>
    <w:p w14:paraId="2DD7D980">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1.未经甲方书面同意，不得将上述成果资料、资料及信息披露给任何第三方；</w:t>
      </w:r>
    </w:p>
    <w:p w14:paraId="1FB194F3">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lang w:val="en-US" w:eastAsia="zh-CN"/>
        </w:rPr>
        <w:t>2</w:t>
      </w:r>
      <w:r>
        <w:rPr>
          <w:rFonts w:hint="eastAsia" w:cs="宋体" w:asciiTheme="minorEastAsia" w:hAnsiTheme="minorEastAsia"/>
          <w:color w:val="auto"/>
          <w:spacing w:val="0"/>
          <w:sz w:val="24"/>
          <w:szCs w:val="24"/>
          <w:highlight w:val="none"/>
        </w:rPr>
        <w:t>.上述保密义务的期限至成果资料及相关资料或信息正式向社会公开之日或甲方书面解除乙方此合同项下保密义务之日止；</w:t>
      </w:r>
    </w:p>
    <w:p w14:paraId="74EE40FB">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lang w:val="en-US" w:eastAsia="zh-CN"/>
        </w:rPr>
        <w:t>3</w:t>
      </w:r>
      <w:r>
        <w:rPr>
          <w:rFonts w:hint="eastAsia" w:cs="宋体" w:asciiTheme="minorEastAsia" w:hAnsiTheme="minorEastAsia"/>
          <w:color w:val="auto"/>
          <w:spacing w:val="0"/>
          <w:sz w:val="24"/>
          <w:szCs w:val="24"/>
          <w:highlight w:val="none"/>
        </w:rPr>
        <w:t>.乙方违反保密义务的，应承担一切法律责任并赔偿甲方因此遭受的全部损失。</w:t>
      </w:r>
    </w:p>
    <w:p w14:paraId="5648FB05">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lang w:val="en-US" w:eastAsia="zh-CN"/>
        </w:rPr>
        <w:t>4</w:t>
      </w:r>
      <w:r>
        <w:rPr>
          <w:rFonts w:hint="eastAsia" w:cs="宋体" w:asciiTheme="minorEastAsia" w:hAnsiTheme="minorEastAsia"/>
          <w:color w:val="auto"/>
          <w:spacing w:val="0"/>
          <w:sz w:val="24"/>
          <w:szCs w:val="24"/>
          <w:highlight w:val="none"/>
        </w:rPr>
        <w:t>.本条约定在本合同履行完毕后仍然继续有效，且不受合同解除、终止或无效的影响。</w:t>
      </w:r>
    </w:p>
    <w:p w14:paraId="75EC52D5">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十四、合同争议的解决</w:t>
      </w:r>
    </w:p>
    <w:p w14:paraId="1CA8E27D">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合同执行中发生争议的，当事人双方应协商解决。协商不一致时，向西安仲裁委员会申请仲裁。</w:t>
      </w:r>
    </w:p>
    <w:p w14:paraId="2EAD1A18">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十五、</w:t>
      </w:r>
      <w:r>
        <w:rPr>
          <w:rFonts w:hint="eastAsia" w:cs="宋体" w:asciiTheme="minorEastAsia" w:hAnsiTheme="minorEastAsia"/>
          <w:color w:val="auto"/>
          <w:spacing w:val="0"/>
          <w:sz w:val="24"/>
          <w:szCs w:val="24"/>
          <w:highlight w:val="none"/>
        </w:rPr>
        <w:t>不可抗力情况下的免责约定，双方约定不可抗力情况包括：五级以上地震、大风、大雨、大雪。</w:t>
      </w:r>
    </w:p>
    <w:p w14:paraId="39F24525">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十六、</w:t>
      </w:r>
      <w:r>
        <w:rPr>
          <w:rFonts w:hint="eastAsia" w:cs="宋体" w:asciiTheme="minorEastAsia" w:hAnsiTheme="minorEastAsia"/>
          <w:color w:val="auto"/>
          <w:spacing w:val="0"/>
          <w:sz w:val="24"/>
          <w:szCs w:val="24"/>
          <w:highlight w:val="none"/>
        </w:rPr>
        <w:t>除本合同约定，合同一经签订，不得擅自变更、中止或者终止合同。对确需变更、调 整或者中止、终止合同的，应按规定履行相应的手续。</w:t>
      </w:r>
    </w:p>
    <w:p w14:paraId="2EF1E3D4">
      <w:pPr>
        <w:spacing w:line="360" w:lineRule="auto"/>
        <w:rPr>
          <w:rFonts w:cs="宋体" w:asciiTheme="minorEastAsia" w:hAnsiTheme="minorEastAsia"/>
          <w:color w:val="auto"/>
          <w:spacing w:val="0"/>
          <w:sz w:val="24"/>
          <w:szCs w:val="24"/>
          <w:highlight w:val="none"/>
        </w:rPr>
      </w:pPr>
      <w:r>
        <w:rPr>
          <w:rFonts w:hint="eastAsia" w:cs="宋体" w:asciiTheme="minorEastAsia" w:hAnsiTheme="minorEastAsia"/>
          <w:b/>
          <w:bCs/>
          <w:color w:val="auto"/>
          <w:spacing w:val="0"/>
          <w:sz w:val="24"/>
          <w:szCs w:val="24"/>
          <w:highlight w:val="none"/>
        </w:rPr>
        <w:t>十七、违约责任</w:t>
      </w:r>
    </w:p>
    <w:p w14:paraId="4F364251">
      <w:pPr>
        <w:spacing w:line="360" w:lineRule="auto"/>
        <w:ind w:firstLine="489" w:firstLineChars="204"/>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按《</w:t>
      </w:r>
      <w:r>
        <w:rPr>
          <w:rFonts w:hint="eastAsia" w:cs="宋体" w:asciiTheme="minorEastAsia" w:hAnsiTheme="minorEastAsia"/>
          <w:color w:val="auto"/>
          <w:spacing w:val="0"/>
          <w:sz w:val="24"/>
          <w:szCs w:val="24"/>
          <w:highlight w:val="none"/>
          <w:lang w:eastAsia="zh-CN"/>
        </w:rPr>
        <w:t>中华人民共和国民法典</w:t>
      </w:r>
      <w:r>
        <w:rPr>
          <w:rFonts w:hint="eastAsia" w:cs="宋体" w:asciiTheme="minorEastAsia" w:hAnsiTheme="minorEastAsia"/>
          <w:color w:val="auto"/>
          <w:spacing w:val="0"/>
          <w:sz w:val="24"/>
          <w:szCs w:val="24"/>
          <w:highlight w:val="none"/>
        </w:rPr>
        <w:t>》中的相关条款和本合同的约定执行。未按合同或投标文件要求提供服务质量不能满足甲方技术要求，甲方有权终止合同，甚至对乙方违约行为进行追究。</w:t>
      </w:r>
    </w:p>
    <w:p w14:paraId="37F3BED4">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十八、其他(在合同中具体明确)</w:t>
      </w:r>
    </w:p>
    <w:p w14:paraId="02215FC6">
      <w:pPr>
        <w:spacing w:line="360" w:lineRule="auto"/>
        <w:rPr>
          <w:rFonts w:cs="宋体" w:asciiTheme="minorEastAsia" w:hAnsiTheme="minorEastAsia"/>
          <w:b/>
          <w:bCs/>
          <w:color w:val="auto"/>
          <w:spacing w:val="0"/>
          <w:sz w:val="24"/>
          <w:szCs w:val="24"/>
          <w:highlight w:val="none"/>
        </w:rPr>
      </w:pPr>
      <w:r>
        <w:rPr>
          <w:rFonts w:hint="eastAsia" w:cs="宋体" w:asciiTheme="minorEastAsia" w:hAnsiTheme="minorEastAsia"/>
          <w:b/>
          <w:bCs/>
          <w:color w:val="auto"/>
          <w:spacing w:val="0"/>
          <w:sz w:val="24"/>
          <w:szCs w:val="24"/>
          <w:highlight w:val="none"/>
        </w:rPr>
        <w:t>十九、合同订立</w:t>
      </w:r>
    </w:p>
    <w:p w14:paraId="2660DF49">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1.订立时间：</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年</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月</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日。</w:t>
      </w:r>
    </w:p>
    <w:p w14:paraId="760C5D4C">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2.订立地点：</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w:t>
      </w:r>
    </w:p>
    <w:p w14:paraId="6813EA28">
      <w:pPr>
        <w:spacing w:line="360" w:lineRule="auto"/>
        <w:ind w:firstLine="480" w:firstLineChars="2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3.本合同一式</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份，具有同等法律效力，双方各执</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份，监管部门备案壹份、采购代理机构存档壹份。各方签字盖章后生效，合同执行完毕自动失效。(合同的服务承诺则长期有效)。</w:t>
      </w:r>
    </w:p>
    <w:p w14:paraId="76F35EE4">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甲  方：</w:t>
      </w:r>
      <w:r>
        <w:rPr>
          <w:rFonts w:hint="eastAsia" w:cs="宋体" w:asciiTheme="minorEastAsia" w:hAnsiTheme="minorEastAsia"/>
          <w:color w:val="auto"/>
          <w:spacing w:val="0"/>
          <w:sz w:val="24"/>
          <w:szCs w:val="24"/>
          <w:highlight w:val="none"/>
          <w:u w:val="single"/>
        </w:rPr>
        <w:t xml:space="preserve">   （盖章）  </w:t>
      </w:r>
      <w:r>
        <w:rPr>
          <w:rFonts w:hint="eastAsia" w:cs="宋体" w:asciiTheme="minorEastAsia" w:hAnsiTheme="minorEastAsia"/>
          <w:color w:val="auto"/>
          <w:spacing w:val="0"/>
          <w:sz w:val="24"/>
          <w:szCs w:val="24"/>
          <w:highlight w:val="none"/>
          <w:u w:val="single"/>
          <w:lang w:val="en-US" w:eastAsia="zh-CN"/>
        </w:rPr>
        <w:t xml:space="preserve">  </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乙  方：</w:t>
      </w:r>
      <w:r>
        <w:rPr>
          <w:rFonts w:hint="eastAsia" w:cs="宋体" w:asciiTheme="minorEastAsia" w:hAnsiTheme="minorEastAsia"/>
          <w:color w:val="auto"/>
          <w:spacing w:val="0"/>
          <w:sz w:val="24"/>
          <w:szCs w:val="24"/>
          <w:highlight w:val="none"/>
          <w:u w:val="single"/>
        </w:rPr>
        <w:t xml:space="preserve">   （盖章）        </w:t>
      </w:r>
    </w:p>
    <w:p w14:paraId="3614ABBD">
      <w:pPr>
        <w:spacing w:line="360" w:lineRule="auto"/>
        <w:ind w:firstLine="240" w:firstLineChars="100"/>
        <w:rPr>
          <w:rFonts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rPr>
        <w:t xml:space="preserve">地  址： </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地  址：</w:t>
      </w:r>
      <w:r>
        <w:rPr>
          <w:rFonts w:hint="eastAsia" w:cs="宋体" w:asciiTheme="minorEastAsia" w:hAnsiTheme="minorEastAsia"/>
          <w:color w:val="auto"/>
          <w:spacing w:val="0"/>
          <w:sz w:val="24"/>
          <w:szCs w:val="24"/>
          <w:highlight w:val="none"/>
          <w:u w:val="single"/>
        </w:rPr>
        <w:t xml:space="preserve">                   </w:t>
      </w:r>
    </w:p>
    <w:p w14:paraId="138109A1">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邮政编码：</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邮政编码：</w:t>
      </w:r>
      <w:r>
        <w:rPr>
          <w:rFonts w:hint="eastAsia" w:cs="宋体" w:asciiTheme="minorEastAsia" w:hAnsiTheme="minorEastAsia"/>
          <w:color w:val="auto"/>
          <w:spacing w:val="0"/>
          <w:sz w:val="24"/>
          <w:szCs w:val="24"/>
          <w:highlight w:val="none"/>
          <w:u w:val="single"/>
        </w:rPr>
        <w:t xml:space="preserve">                 </w:t>
      </w:r>
    </w:p>
    <w:p w14:paraId="6508511E">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 xml:space="preserve">法定代表人或其授权                       法定代表人或其授权 </w:t>
      </w:r>
    </w:p>
    <w:p w14:paraId="190F98CB">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的代理人：</w:t>
      </w:r>
      <w:r>
        <w:rPr>
          <w:rFonts w:hint="eastAsia" w:cs="宋体" w:asciiTheme="minorEastAsia" w:hAnsiTheme="minorEastAsia"/>
          <w:color w:val="auto"/>
          <w:spacing w:val="0"/>
          <w:sz w:val="24"/>
          <w:szCs w:val="24"/>
          <w:highlight w:val="none"/>
          <w:u w:val="single"/>
        </w:rPr>
        <w:t xml:space="preserve">（签字）      </w:t>
      </w:r>
      <w:r>
        <w:rPr>
          <w:rFonts w:hint="eastAsia" w:cs="宋体" w:asciiTheme="minorEastAsia" w:hAnsiTheme="minorEastAsia"/>
          <w:color w:val="auto"/>
          <w:spacing w:val="0"/>
          <w:sz w:val="24"/>
          <w:szCs w:val="24"/>
          <w:highlight w:val="none"/>
        </w:rPr>
        <w:t xml:space="preserve">                 的代理人：</w:t>
      </w:r>
      <w:r>
        <w:rPr>
          <w:rFonts w:hint="eastAsia" w:cs="宋体" w:asciiTheme="minorEastAsia" w:hAnsiTheme="minorEastAsia"/>
          <w:color w:val="auto"/>
          <w:spacing w:val="0"/>
          <w:sz w:val="24"/>
          <w:szCs w:val="24"/>
          <w:highlight w:val="none"/>
          <w:u w:val="single"/>
        </w:rPr>
        <w:t xml:space="preserve">（签字）           </w:t>
      </w:r>
    </w:p>
    <w:p w14:paraId="4468B6D0">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开户银行：</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开户银行：</w:t>
      </w:r>
      <w:r>
        <w:rPr>
          <w:rFonts w:hint="eastAsia" w:cs="宋体" w:asciiTheme="minorEastAsia" w:hAnsiTheme="minorEastAsia"/>
          <w:color w:val="auto"/>
          <w:spacing w:val="0"/>
          <w:sz w:val="24"/>
          <w:szCs w:val="24"/>
          <w:highlight w:val="none"/>
          <w:u w:val="single"/>
        </w:rPr>
        <w:t xml:space="preserve">                 </w:t>
      </w:r>
    </w:p>
    <w:p w14:paraId="60CB48AF">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账号：</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账号：</w:t>
      </w:r>
      <w:r>
        <w:rPr>
          <w:rFonts w:hint="eastAsia" w:cs="宋体" w:asciiTheme="minorEastAsia" w:hAnsiTheme="minorEastAsia"/>
          <w:color w:val="auto"/>
          <w:spacing w:val="0"/>
          <w:sz w:val="24"/>
          <w:szCs w:val="24"/>
          <w:highlight w:val="none"/>
          <w:u w:val="single"/>
        </w:rPr>
        <w:t xml:space="preserve">                     </w:t>
      </w:r>
    </w:p>
    <w:p w14:paraId="443EDF64">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电话：</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电话：</w:t>
      </w:r>
      <w:r>
        <w:rPr>
          <w:rFonts w:hint="eastAsia" w:cs="宋体" w:asciiTheme="minorEastAsia" w:hAnsiTheme="minorEastAsia"/>
          <w:color w:val="auto"/>
          <w:spacing w:val="0"/>
          <w:sz w:val="24"/>
          <w:szCs w:val="24"/>
          <w:highlight w:val="none"/>
          <w:u w:val="single"/>
        </w:rPr>
        <w:t xml:space="preserve">                     </w:t>
      </w:r>
    </w:p>
    <w:p w14:paraId="2D667AEA">
      <w:pPr>
        <w:spacing w:line="360" w:lineRule="auto"/>
        <w:ind w:firstLine="240" w:firstLineChars="100"/>
        <w:rPr>
          <w:rFonts w:cs="宋体" w:asciiTheme="minorEastAsia" w:hAnsiTheme="minorEastAsia"/>
          <w:color w:val="auto"/>
          <w:spacing w:val="0"/>
          <w:sz w:val="24"/>
          <w:szCs w:val="24"/>
          <w:highlight w:val="none"/>
        </w:rPr>
      </w:pPr>
      <w:r>
        <w:rPr>
          <w:rFonts w:hint="eastAsia" w:cs="宋体" w:asciiTheme="minorEastAsia" w:hAnsiTheme="minorEastAsia"/>
          <w:color w:val="auto"/>
          <w:spacing w:val="0"/>
          <w:sz w:val="24"/>
          <w:szCs w:val="24"/>
          <w:highlight w:val="none"/>
        </w:rPr>
        <w:t>传真：</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传真：</w:t>
      </w:r>
      <w:r>
        <w:rPr>
          <w:rFonts w:hint="eastAsia" w:cs="宋体" w:asciiTheme="minorEastAsia" w:hAnsiTheme="minorEastAsia"/>
          <w:color w:val="auto"/>
          <w:spacing w:val="0"/>
          <w:sz w:val="24"/>
          <w:szCs w:val="24"/>
          <w:highlight w:val="none"/>
          <w:u w:val="single"/>
        </w:rPr>
        <w:t xml:space="preserve">                     </w:t>
      </w:r>
    </w:p>
    <w:p w14:paraId="4A7B3240">
      <w:pPr>
        <w:spacing w:line="360" w:lineRule="auto"/>
        <w:ind w:firstLine="240" w:firstLineChars="100"/>
        <w:rPr>
          <w:rFonts w:hint="eastAsia" w:cs="宋体" w:asciiTheme="minorEastAsia" w:hAnsiTheme="minorEastAsia"/>
          <w:color w:val="auto"/>
          <w:spacing w:val="0"/>
          <w:sz w:val="24"/>
          <w:szCs w:val="24"/>
          <w:highlight w:val="none"/>
          <w:u w:val="single"/>
        </w:rPr>
      </w:pPr>
      <w:r>
        <w:rPr>
          <w:rFonts w:hint="eastAsia" w:cs="宋体" w:asciiTheme="minorEastAsia" w:hAnsiTheme="minorEastAsia"/>
          <w:color w:val="auto"/>
          <w:spacing w:val="0"/>
          <w:sz w:val="24"/>
          <w:szCs w:val="24"/>
          <w:highlight w:val="none"/>
        </w:rPr>
        <w:t>电子邮箱：</w:t>
      </w:r>
      <w:r>
        <w:rPr>
          <w:rFonts w:hint="eastAsia" w:cs="宋体" w:asciiTheme="minorEastAsia" w:hAnsiTheme="minorEastAsia"/>
          <w:color w:val="auto"/>
          <w:spacing w:val="0"/>
          <w:sz w:val="24"/>
          <w:szCs w:val="24"/>
          <w:highlight w:val="none"/>
          <w:u w:val="single"/>
        </w:rPr>
        <w:t xml:space="preserve">                 </w:t>
      </w:r>
      <w:r>
        <w:rPr>
          <w:rFonts w:hint="eastAsia" w:cs="宋体" w:asciiTheme="minorEastAsia" w:hAnsiTheme="minorEastAsia"/>
          <w:color w:val="auto"/>
          <w:spacing w:val="0"/>
          <w:sz w:val="24"/>
          <w:szCs w:val="24"/>
          <w:highlight w:val="none"/>
        </w:rPr>
        <w:t xml:space="preserve">              电子邮箱：</w:t>
      </w:r>
      <w:r>
        <w:rPr>
          <w:rFonts w:hint="eastAsia" w:cs="宋体" w:asciiTheme="minorEastAsia" w:hAnsiTheme="minorEastAsia"/>
          <w:color w:val="auto"/>
          <w:spacing w:val="0"/>
          <w:sz w:val="24"/>
          <w:szCs w:val="24"/>
          <w:highlight w:val="none"/>
          <w:u w:val="single"/>
        </w:rPr>
        <w:t xml:space="preserve">                 </w:t>
      </w:r>
    </w:p>
    <w:p w14:paraId="736FA0F5">
      <w:pPr>
        <w:spacing w:before="101" w:line="227" w:lineRule="auto"/>
        <w:outlineLvl w:val="0"/>
        <w:rPr>
          <w:rFonts w:hint="eastAsia" w:ascii="宋体" w:hAnsi="宋体" w:eastAsia="宋体" w:cs="宋体"/>
          <w:sz w:val="31"/>
          <w:szCs w:val="31"/>
        </w:rPr>
      </w:pPr>
      <w:r>
        <w:rPr>
          <w:rFonts w:hint="eastAsia" w:cs="宋体" w:asciiTheme="minorEastAsia" w:hAnsiTheme="minorEastAsia"/>
          <w:color w:val="auto"/>
          <w:spacing w:val="0"/>
          <w:sz w:val="24"/>
          <w:szCs w:val="24"/>
          <w:highlight w:val="none"/>
          <w:u w:val="single"/>
        </w:rPr>
        <w:br w:type="page"/>
      </w:r>
      <w:r>
        <w:rPr>
          <w:rFonts w:hint="eastAsia" w:ascii="宋体" w:hAnsi="宋体" w:eastAsia="宋体" w:cs="宋体"/>
          <w:b/>
          <w:bCs/>
          <w:color w:val="auto"/>
          <w:spacing w:val="0"/>
          <w:sz w:val="30"/>
          <w:szCs w:val="30"/>
          <w:highlight w:val="none"/>
          <w:u w:val="none"/>
          <w:lang w:val="en-US" w:eastAsia="zh-CN"/>
        </w:rPr>
        <w:t>附件：月度考核与费用结算机制</w:t>
      </w:r>
    </w:p>
    <w:p w14:paraId="2E5CC437">
      <w:pPr>
        <w:keepNext w:val="0"/>
        <w:keepLines w:val="0"/>
        <w:pageBreakBefore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spacing w:val="4"/>
          <w:sz w:val="24"/>
          <w:szCs w:val="24"/>
        </w:rPr>
      </w:pPr>
    </w:p>
    <w:p w14:paraId="0EC837E1">
      <w:pPr>
        <w:keepNext w:val="0"/>
        <w:keepLines w:val="0"/>
        <w:pageBreakBefore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（一）考核原则</w:t>
      </w:r>
    </w:p>
    <w:p w14:paraId="693F7FA7">
      <w:pPr>
        <w:pStyle w:val="3"/>
        <w:keepNext w:val="0"/>
        <w:keepLines w:val="0"/>
        <w:pageBreakBefore w:val="0"/>
        <w:kinsoku/>
        <w:wordWrap/>
        <w:overflowPunct/>
        <w:topLinePunct w:val="0"/>
        <w:autoSpaceDE/>
        <w:autoSpaceDN/>
        <w:bidi w:val="0"/>
        <w:adjustRightInd/>
        <w:snapToGrid/>
        <w:spacing w:after="0" w:line="360" w:lineRule="auto"/>
        <w:ind w:left="251" w:right="288" w:firstLine="647"/>
        <w:textAlignment w:val="auto"/>
        <w:rPr>
          <w:rFonts w:hint="eastAsia" w:ascii="宋体" w:hAnsi="宋体" w:eastAsia="宋体" w:cs="宋体"/>
          <w:sz w:val="24"/>
          <w:szCs w:val="24"/>
        </w:rPr>
      </w:pPr>
      <w:r>
        <w:rPr>
          <w:rFonts w:hint="eastAsia" w:ascii="宋体" w:hAnsi="宋体" w:eastAsia="宋体" w:cs="宋体"/>
          <w:spacing w:val="7"/>
          <w:sz w:val="24"/>
          <w:szCs w:val="24"/>
        </w:rPr>
        <w:t>坚持"公平公正、量化打分、奖优罚劣、挂钩</w:t>
      </w:r>
      <w:r>
        <w:rPr>
          <w:rFonts w:hint="eastAsia" w:ascii="宋体" w:hAnsi="宋体" w:eastAsia="宋体" w:cs="宋体"/>
          <w:spacing w:val="6"/>
          <w:sz w:val="24"/>
          <w:szCs w:val="24"/>
        </w:rPr>
        <w:t>付费"原则，月</w:t>
      </w:r>
      <w:r>
        <w:rPr>
          <w:rFonts w:hint="eastAsia" w:ascii="宋体" w:hAnsi="宋体" w:eastAsia="宋体" w:cs="宋体"/>
          <w:spacing w:val="8"/>
          <w:sz w:val="24"/>
          <w:szCs w:val="24"/>
        </w:rPr>
        <w:t>度考核结果作为当月服务费支付的唯一依据。</w:t>
      </w:r>
    </w:p>
    <w:p w14:paraId="5A0F623A">
      <w:pPr>
        <w:keepNext w:val="0"/>
        <w:keepLines w:val="0"/>
        <w:pageBreakBefore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sz w:val="24"/>
          <w:szCs w:val="24"/>
        </w:rPr>
      </w:pPr>
      <w:r>
        <w:rPr>
          <w:rFonts w:hint="eastAsia" w:ascii="宋体" w:hAnsi="宋体" w:eastAsia="宋体" w:cs="宋体"/>
          <w:spacing w:val="6"/>
          <w:sz w:val="24"/>
          <w:szCs w:val="24"/>
        </w:rPr>
        <w:t>（二）考核主体与周期</w:t>
      </w:r>
    </w:p>
    <w:p w14:paraId="6278D335">
      <w:pPr>
        <w:pStyle w:val="3"/>
        <w:keepNext w:val="0"/>
        <w:keepLines w:val="0"/>
        <w:pageBreakBefore w:val="0"/>
        <w:kinsoku/>
        <w:wordWrap/>
        <w:overflowPunct/>
        <w:topLinePunct w:val="0"/>
        <w:autoSpaceDE/>
        <w:autoSpaceDN/>
        <w:bidi w:val="0"/>
        <w:adjustRightInd/>
        <w:snapToGrid/>
        <w:spacing w:after="0" w:line="360" w:lineRule="auto"/>
        <w:ind w:firstLine="756" w:firstLineChars="300"/>
        <w:jc w:val="both"/>
        <w:textAlignment w:val="auto"/>
        <w:rPr>
          <w:rFonts w:hint="eastAsia" w:ascii="宋体" w:hAnsi="宋体" w:eastAsia="宋体" w:cs="宋体"/>
          <w:sz w:val="24"/>
          <w:szCs w:val="24"/>
        </w:rPr>
      </w:pPr>
      <w:r>
        <w:rPr>
          <w:rFonts w:hint="eastAsia" w:ascii="宋体" w:hAnsi="宋体" w:eastAsia="宋体" w:cs="宋体"/>
          <w:spacing w:val="6"/>
          <w:sz w:val="24"/>
          <w:szCs w:val="24"/>
        </w:rPr>
        <w:t>考核主体：</w:t>
      </w:r>
      <w:r>
        <w:rPr>
          <w:rFonts w:hint="eastAsia" w:ascii="宋体" w:hAnsi="宋体" w:eastAsia="宋体" w:cs="宋体"/>
          <w:spacing w:val="-71"/>
          <w:sz w:val="24"/>
          <w:szCs w:val="24"/>
        </w:rPr>
        <w:t xml:space="preserve"> </w:t>
      </w:r>
      <w:r>
        <w:rPr>
          <w:rFonts w:hint="eastAsia" w:ascii="宋体" w:hAnsi="宋体" w:eastAsia="宋体" w:cs="宋体"/>
          <w:spacing w:val="6"/>
          <w:sz w:val="24"/>
          <w:szCs w:val="24"/>
        </w:rPr>
        <w:t>由五星街道办事处城建管理（交通、住建）办公室</w:t>
      </w:r>
      <w:r>
        <w:rPr>
          <w:rFonts w:hint="eastAsia" w:ascii="宋体" w:hAnsi="宋体" w:eastAsia="宋体" w:cs="宋体"/>
          <w:spacing w:val="5"/>
          <w:sz w:val="24"/>
          <w:szCs w:val="24"/>
        </w:rPr>
        <w:t>成立考核小组。考核周期：上月25日至当月25日为一个考核周期，</w:t>
      </w:r>
      <w:r>
        <w:rPr>
          <w:rFonts w:hint="eastAsia" w:ascii="宋体" w:hAnsi="宋体" w:eastAsia="宋体" w:cs="宋体"/>
          <w:spacing w:val="3"/>
          <w:sz w:val="24"/>
          <w:szCs w:val="24"/>
        </w:rPr>
        <w:t>每月20日开展当月综合考核，结合日常随机抽查</w:t>
      </w:r>
      <w:r>
        <w:rPr>
          <w:rFonts w:hint="eastAsia" w:ascii="宋体" w:hAnsi="宋体" w:eastAsia="宋体" w:cs="宋体"/>
          <w:spacing w:val="2"/>
          <w:sz w:val="24"/>
          <w:szCs w:val="24"/>
        </w:rPr>
        <w:t>结果形成最终得分。</w:t>
      </w:r>
    </w:p>
    <w:p w14:paraId="7C27AFAF">
      <w:pPr>
        <w:keepNext w:val="0"/>
        <w:keepLines w:val="0"/>
        <w:pageBreakBefore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（三）评分标准（满分 100</w:t>
      </w:r>
      <w:r>
        <w:rPr>
          <w:rFonts w:hint="eastAsia" w:ascii="宋体" w:hAnsi="宋体" w:eastAsia="宋体" w:cs="宋体"/>
          <w:spacing w:val="31"/>
          <w:sz w:val="24"/>
          <w:szCs w:val="24"/>
        </w:rPr>
        <w:t xml:space="preserve"> </w:t>
      </w:r>
      <w:r>
        <w:rPr>
          <w:rFonts w:hint="eastAsia" w:ascii="宋体" w:hAnsi="宋体" w:eastAsia="宋体" w:cs="宋体"/>
          <w:spacing w:val="4"/>
          <w:sz w:val="24"/>
          <w:szCs w:val="24"/>
        </w:rPr>
        <w:t>分）</w:t>
      </w:r>
    </w:p>
    <w:tbl>
      <w:tblPr>
        <w:tblStyle w:val="8"/>
        <w:tblW w:w="975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28"/>
        <w:gridCol w:w="2174"/>
        <w:gridCol w:w="5252"/>
      </w:tblGrid>
      <w:tr w14:paraId="28605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jc w:val="center"/>
        </w:trPr>
        <w:tc>
          <w:tcPr>
            <w:tcW w:w="2328" w:type="dxa"/>
            <w:vAlign w:val="center"/>
          </w:tcPr>
          <w:p w14:paraId="4779B0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8"/>
                <w:sz w:val="24"/>
                <w:szCs w:val="24"/>
              </w:rPr>
              <w:t>服务</w:t>
            </w:r>
          </w:p>
        </w:tc>
        <w:tc>
          <w:tcPr>
            <w:tcW w:w="2174" w:type="dxa"/>
            <w:vMerge w:val="restart"/>
            <w:tcBorders>
              <w:bottom w:val="nil"/>
            </w:tcBorders>
            <w:vAlign w:val="center"/>
          </w:tcPr>
          <w:p w14:paraId="0C7030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10"/>
                <w:sz w:val="24"/>
                <w:szCs w:val="24"/>
              </w:rPr>
              <w:t>分值</w:t>
            </w:r>
          </w:p>
        </w:tc>
        <w:tc>
          <w:tcPr>
            <w:tcW w:w="5252" w:type="dxa"/>
            <w:vMerge w:val="restart"/>
            <w:tcBorders>
              <w:bottom w:val="nil"/>
            </w:tcBorders>
            <w:vAlign w:val="center"/>
          </w:tcPr>
          <w:p w14:paraId="5E5D18A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3"/>
                <w:sz w:val="24"/>
                <w:szCs w:val="24"/>
              </w:rPr>
              <w:t>核心扣分细则</w:t>
            </w:r>
          </w:p>
        </w:tc>
      </w:tr>
      <w:tr w14:paraId="1AA42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Align w:val="center"/>
          </w:tcPr>
          <w:p w14:paraId="7236E06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8"/>
                <w:sz w:val="24"/>
                <w:szCs w:val="24"/>
              </w:rPr>
              <w:t>板块</w:t>
            </w:r>
          </w:p>
        </w:tc>
        <w:tc>
          <w:tcPr>
            <w:tcW w:w="2174" w:type="dxa"/>
            <w:vMerge w:val="continue"/>
            <w:tcBorders>
              <w:top w:val="nil"/>
            </w:tcBorders>
            <w:vAlign w:val="center"/>
          </w:tcPr>
          <w:p w14:paraId="31C6BBDC">
            <w:pPr>
              <w:pStyle w:val="9"/>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c>
          <w:tcPr>
            <w:tcW w:w="5252" w:type="dxa"/>
            <w:vMerge w:val="continue"/>
            <w:tcBorders>
              <w:top w:val="nil"/>
            </w:tcBorders>
            <w:vAlign w:val="center"/>
          </w:tcPr>
          <w:p w14:paraId="6489F06D">
            <w:pPr>
              <w:pStyle w:val="9"/>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tc>
      </w:tr>
      <w:tr w14:paraId="7DB64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restart"/>
            <w:vAlign w:val="center"/>
          </w:tcPr>
          <w:p w14:paraId="50D5D29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3"/>
                <w:sz w:val="24"/>
                <w:szCs w:val="24"/>
              </w:rPr>
              <w:t>道路清扫保洁</w:t>
            </w:r>
          </w:p>
        </w:tc>
        <w:tc>
          <w:tcPr>
            <w:tcW w:w="2174" w:type="dxa"/>
            <w:vMerge w:val="restart"/>
            <w:vAlign w:val="center"/>
          </w:tcPr>
          <w:p w14:paraId="19139EA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30分</w:t>
            </w:r>
          </w:p>
        </w:tc>
        <w:tc>
          <w:tcPr>
            <w:tcW w:w="5252" w:type="dxa"/>
            <w:vAlign w:val="center"/>
          </w:tcPr>
          <w:p w14:paraId="6E3497B7">
            <w:pPr>
              <w:keepNext w:val="0"/>
              <w:keepLines w:val="0"/>
              <w:pageBreakBefore w:val="0"/>
              <w:widowControl w:val="0"/>
              <w:kinsoku/>
              <w:wordWrap/>
              <w:overflowPunct/>
              <w:topLinePunct w:val="0"/>
              <w:autoSpaceDE/>
              <w:autoSpaceDN/>
              <w:bidi w:val="0"/>
              <w:adjustRightInd/>
              <w:snapToGrid w:val="0"/>
              <w:spacing w:line="240" w:lineRule="auto"/>
              <w:ind w:right="284"/>
              <w:textAlignment w:val="auto"/>
              <w:rPr>
                <w:rFonts w:hint="eastAsia" w:ascii="宋体" w:hAnsi="宋体" w:eastAsia="宋体" w:cs="宋体"/>
                <w:sz w:val="24"/>
                <w:szCs w:val="24"/>
              </w:rPr>
            </w:pPr>
            <w:r>
              <w:rPr>
                <w:rFonts w:hint="eastAsia" w:ascii="宋体" w:hAnsi="宋体" w:eastAsia="宋体" w:cs="宋体"/>
                <w:spacing w:val="-2"/>
                <w:sz w:val="24"/>
                <w:szCs w:val="24"/>
              </w:rPr>
              <w:t>1.主次干道未按规定频次普扫，每次扣</w:t>
            </w:r>
            <w:r>
              <w:rPr>
                <w:rFonts w:hint="eastAsia" w:ascii="宋体" w:hAnsi="宋体" w:eastAsia="宋体" w:cs="宋体"/>
                <w:spacing w:val="-3"/>
                <w:sz w:val="24"/>
                <w:szCs w:val="24"/>
              </w:rPr>
              <w:t>2-5分</w:t>
            </w:r>
          </w:p>
        </w:tc>
      </w:tr>
      <w:tr w14:paraId="6A7A6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 w:hRule="atLeast"/>
          <w:jc w:val="center"/>
        </w:trPr>
        <w:tc>
          <w:tcPr>
            <w:tcW w:w="2328" w:type="dxa"/>
            <w:vMerge w:val="continue"/>
            <w:vAlign w:val="center"/>
          </w:tcPr>
          <w:p w14:paraId="581F48AF">
            <w:pPr>
              <w:pStyle w:val="9"/>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p>
        </w:tc>
        <w:tc>
          <w:tcPr>
            <w:tcW w:w="2174" w:type="dxa"/>
            <w:vMerge w:val="continue"/>
            <w:vAlign w:val="center"/>
          </w:tcPr>
          <w:p w14:paraId="7180416A">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245AFEA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pacing w:val="-3"/>
                <w:sz w:val="24"/>
                <w:szCs w:val="24"/>
              </w:rPr>
              <w:t>2.发现1处裸露垃圾或白色垃圾，扣0.5</w:t>
            </w:r>
            <w:r>
              <w:rPr>
                <w:rFonts w:hint="eastAsia" w:ascii="宋体" w:hAnsi="宋体" w:eastAsia="宋体" w:cs="宋体"/>
                <w:spacing w:val="-3"/>
                <w:sz w:val="24"/>
                <w:szCs w:val="24"/>
                <w:lang w:val="en-US" w:eastAsia="zh-CN"/>
              </w:rPr>
              <w:t>分</w:t>
            </w:r>
          </w:p>
        </w:tc>
      </w:tr>
      <w:tr w14:paraId="617B9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227D7076">
            <w:pPr>
              <w:pStyle w:val="9"/>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p>
        </w:tc>
        <w:tc>
          <w:tcPr>
            <w:tcW w:w="2174" w:type="dxa"/>
            <w:vMerge w:val="continue"/>
            <w:vAlign w:val="center"/>
          </w:tcPr>
          <w:p w14:paraId="1F0CEA46">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6B60CE7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3.垃圾桶满溢未及时清运，每处扣1分</w:t>
            </w:r>
          </w:p>
        </w:tc>
      </w:tr>
      <w:tr w14:paraId="24104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7CF77679">
            <w:pPr>
              <w:pStyle w:val="9"/>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p>
        </w:tc>
        <w:tc>
          <w:tcPr>
            <w:tcW w:w="2174" w:type="dxa"/>
            <w:vMerge w:val="continue"/>
            <w:vAlign w:val="center"/>
          </w:tcPr>
          <w:p w14:paraId="0CFE3DE0">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3D33722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3"/>
                <w:sz w:val="24"/>
                <w:szCs w:val="24"/>
              </w:rPr>
            </w:pPr>
            <w:r>
              <w:rPr>
                <w:rFonts w:hint="eastAsia" w:ascii="宋体" w:hAnsi="宋体" w:eastAsia="宋体" w:cs="宋体"/>
                <w:spacing w:val="-2"/>
                <w:sz w:val="24"/>
                <w:szCs w:val="24"/>
              </w:rPr>
              <w:t>4.下水口堵塞未清掏，每处扣1分</w:t>
            </w:r>
          </w:p>
        </w:tc>
      </w:tr>
      <w:tr w14:paraId="564FD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5FE832C6">
            <w:pPr>
              <w:pStyle w:val="9"/>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p>
        </w:tc>
        <w:tc>
          <w:tcPr>
            <w:tcW w:w="2174" w:type="dxa"/>
            <w:vMerge w:val="continue"/>
            <w:vAlign w:val="center"/>
          </w:tcPr>
          <w:p w14:paraId="197A596C">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111FEAB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3"/>
                <w:sz w:val="24"/>
                <w:szCs w:val="24"/>
              </w:rPr>
            </w:pPr>
            <w:r>
              <w:rPr>
                <w:rFonts w:hint="eastAsia" w:ascii="宋体" w:hAnsi="宋体" w:eastAsia="宋体" w:cs="宋体"/>
                <w:spacing w:val="-1"/>
                <w:sz w:val="24"/>
                <w:szCs w:val="24"/>
              </w:rPr>
              <w:t>5.扬尘治理或积雪清理不及时，扣3-5分</w:t>
            </w:r>
          </w:p>
        </w:tc>
      </w:tr>
      <w:tr w14:paraId="081D07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7CAB3AE2">
            <w:pPr>
              <w:pStyle w:val="9"/>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szCs w:val="24"/>
              </w:rPr>
            </w:pPr>
          </w:p>
        </w:tc>
        <w:tc>
          <w:tcPr>
            <w:tcW w:w="2174" w:type="dxa"/>
            <w:vMerge w:val="continue"/>
            <w:vAlign w:val="center"/>
          </w:tcPr>
          <w:p w14:paraId="1174C2BD">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4F3A095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3"/>
                <w:sz w:val="24"/>
                <w:szCs w:val="24"/>
              </w:rPr>
            </w:pPr>
            <w:r>
              <w:rPr>
                <w:rFonts w:hint="eastAsia" w:ascii="宋体" w:hAnsi="宋体" w:eastAsia="宋体" w:cs="宋体"/>
                <w:spacing w:val="-2"/>
                <w:sz w:val="24"/>
                <w:szCs w:val="24"/>
              </w:rPr>
              <w:t>6.应急保障不力，扣5-10分</w:t>
            </w:r>
          </w:p>
        </w:tc>
      </w:tr>
      <w:tr w14:paraId="734E9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 w:hRule="atLeast"/>
          <w:jc w:val="center"/>
        </w:trPr>
        <w:tc>
          <w:tcPr>
            <w:tcW w:w="2328" w:type="dxa"/>
            <w:vMerge w:val="restart"/>
            <w:vAlign w:val="center"/>
          </w:tcPr>
          <w:p w14:paraId="142719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绿化养护</w:t>
            </w:r>
          </w:p>
        </w:tc>
        <w:tc>
          <w:tcPr>
            <w:tcW w:w="2174" w:type="dxa"/>
            <w:vMerge w:val="restart"/>
            <w:vAlign w:val="center"/>
          </w:tcPr>
          <w:p w14:paraId="5719E8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9"/>
                <w:sz w:val="24"/>
                <w:szCs w:val="24"/>
              </w:rPr>
              <w:t>15分</w:t>
            </w:r>
          </w:p>
        </w:tc>
        <w:tc>
          <w:tcPr>
            <w:tcW w:w="5252" w:type="dxa"/>
            <w:vAlign w:val="center"/>
          </w:tcPr>
          <w:p w14:paraId="71ED4A7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2"/>
                <w:sz w:val="24"/>
                <w:szCs w:val="24"/>
              </w:rPr>
            </w:pPr>
            <w:r>
              <w:rPr>
                <w:rFonts w:hint="eastAsia" w:ascii="宋体" w:hAnsi="宋体" w:eastAsia="宋体" w:cs="宋体"/>
                <w:spacing w:val="-3"/>
                <w:sz w:val="24"/>
                <w:szCs w:val="24"/>
              </w:rPr>
              <w:t>1.绿地大面积杂草未清除，扣3-5分</w:t>
            </w:r>
          </w:p>
        </w:tc>
      </w:tr>
      <w:tr w14:paraId="47AC1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7A9AC1B9">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2174" w:type="dxa"/>
            <w:vMerge w:val="continue"/>
            <w:vAlign w:val="center"/>
          </w:tcPr>
          <w:p w14:paraId="247706CF">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5252" w:type="dxa"/>
            <w:vAlign w:val="center"/>
          </w:tcPr>
          <w:p w14:paraId="5DAE234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2.枯枝败叶堆积未清理，每处扣2分</w:t>
            </w:r>
          </w:p>
        </w:tc>
      </w:tr>
      <w:tr w14:paraId="0FA61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594C06B1">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2174" w:type="dxa"/>
            <w:vMerge w:val="continue"/>
            <w:vAlign w:val="center"/>
          </w:tcPr>
          <w:p w14:paraId="57D0FCE5">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5252" w:type="dxa"/>
            <w:vAlign w:val="center"/>
          </w:tcPr>
          <w:p w14:paraId="01650CD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3.病虫害未及时防治，扣4-6分</w:t>
            </w:r>
          </w:p>
        </w:tc>
      </w:tr>
      <w:tr w14:paraId="4F3BF9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67C7DB9D">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2174" w:type="dxa"/>
            <w:vMerge w:val="continue"/>
            <w:vAlign w:val="center"/>
          </w:tcPr>
          <w:p w14:paraId="2B00CC5D">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5252" w:type="dxa"/>
            <w:vAlign w:val="center"/>
          </w:tcPr>
          <w:p w14:paraId="76CEAEC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4.修剪垃圾未当日清运，扣2分</w:t>
            </w:r>
          </w:p>
        </w:tc>
      </w:tr>
      <w:tr w14:paraId="30AB0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32BA309E">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2174" w:type="dxa"/>
            <w:vMerge w:val="continue"/>
            <w:vAlign w:val="center"/>
          </w:tcPr>
          <w:p w14:paraId="0B455B67">
            <w:pPr>
              <w:pStyle w:val="9"/>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tc>
        <w:tc>
          <w:tcPr>
            <w:tcW w:w="5252" w:type="dxa"/>
            <w:vAlign w:val="center"/>
          </w:tcPr>
          <w:p w14:paraId="1BFCC0D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pacing w:val="-2"/>
                <w:sz w:val="24"/>
                <w:szCs w:val="24"/>
              </w:rPr>
            </w:pPr>
            <w:r>
              <w:rPr>
                <w:rFonts w:hint="eastAsia" w:ascii="宋体" w:hAnsi="宋体" w:eastAsia="宋体" w:cs="宋体"/>
                <w:spacing w:val="-3"/>
                <w:sz w:val="24"/>
                <w:szCs w:val="24"/>
              </w:rPr>
              <w:t>5.绿化设施损坏未上报，每处扣1分</w:t>
            </w:r>
          </w:p>
        </w:tc>
      </w:tr>
      <w:tr w14:paraId="5FF1F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restart"/>
            <w:vAlign w:val="center"/>
          </w:tcPr>
          <w:p w14:paraId="7C5DAA2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6"/>
                <w:sz w:val="24"/>
                <w:szCs w:val="24"/>
              </w:rPr>
              <w:t>公厕运维</w:t>
            </w:r>
          </w:p>
        </w:tc>
        <w:tc>
          <w:tcPr>
            <w:tcW w:w="2174" w:type="dxa"/>
            <w:vMerge w:val="restart"/>
            <w:vAlign w:val="center"/>
          </w:tcPr>
          <w:p w14:paraId="684B24E0">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pacing w:val="-9"/>
                <w:sz w:val="24"/>
                <w:szCs w:val="24"/>
              </w:rPr>
              <w:t>15分</w:t>
            </w:r>
          </w:p>
        </w:tc>
        <w:tc>
          <w:tcPr>
            <w:tcW w:w="5252" w:type="dxa"/>
            <w:vAlign w:val="center"/>
          </w:tcPr>
          <w:p w14:paraId="560A8EF8">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1.公厕有明显异味，扣3分</w:t>
            </w:r>
          </w:p>
        </w:tc>
      </w:tr>
      <w:tr w14:paraId="74F2F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22C6616D">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2174" w:type="dxa"/>
            <w:vMerge w:val="continue"/>
            <w:vAlign w:val="center"/>
          </w:tcPr>
          <w:p w14:paraId="524D6BC8">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46C84B1E">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3"/>
                <w:sz w:val="24"/>
                <w:szCs w:val="24"/>
              </w:rPr>
            </w:pPr>
            <w:r>
              <w:rPr>
                <w:rFonts w:hint="eastAsia" w:ascii="宋体" w:hAnsi="宋体" w:eastAsia="宋体" w:cs="宋体"/>
                <w:spacing w:val="-2"/>
                <w:sz w:val="24"/>
                <w:szCs w:val="24"/>
              </w:rPr>
              <w:t>2.地面或便池有污渍积水，每处扣1分</w:t>
            </w:r>
          </w:p>
        </w:tc>
      </w:tr>
      <w:tr w14:paraId="1F3E1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4AF37928">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2174" w:type="dxa"/>
            <w:vMerge w:val="continue"/>
            <w:vAlign w:val="center"/>
          </w:tcPr>
          <w:p w14:paraId="09201A71">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4C03FAD8">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3.未按要求消杀，扣3分</w:t>
            </w:r>
          </w:p>
        </w:tc>
      </w:tr>
      <w:tr w14:paraId="0A0BC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1A7D7808">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2174" w:type="dxa"/>
            <w:vMerge w:val="continue"/>
            <w:vAlign w:val="center"/>
          </w:tcPr>
          <w:p w14:paraId="24D9A92B">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6B2525BF">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3"/>
                <w:sz w:val="24"/>
                <w:szCs w:val="24"/>
              </w:rPr>
            </w:pPr>
            <w:r>
              <w:rPr>
                <w:rFonts w:hint="eastAsia" w:ascii="宋体" w:hAnsi="宋体" w:eastAsia="宋体" w:cs="宋体"/>
                <w:spacing w:val="-1"/>
                <w:sz w:val="24"/>
                <w:szCs w:val="24"/>
              </w:rPr>
              <w:t>4.设施损坏未及时维修，扣2分</w:t>
            </w:r>
          </w:p>
        </w:tc>
      </w:tr>
      <w:tr w14:paraId="084F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6648209B">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2174" w:type="dxa"/>
            <w:vMerge w:val="continue"/>
            <w:vAlign w:val="center"/>
          </w:tcPr>
          <w:p w14:paraId="7231F0BF">
            <w:pPr>
              <w:pStyle w:val="9"/>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4"/>
                <w:szCs w:val="24"/>
              </w:rPr>
            </w:pPr>
          </w:p>
        </w:tc>
        <w:tc>
          <w:tcPr>
            <w:tcW w:w="5252" w:type="dxa"/>
            <w:vAlign w:val="center"/>
          </w:tcPr>
          <w:p w14:paraId="503CA0BB">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3"/>
                <w:sz w:val="24"/>
                <w:szCs w:val="24"/>
              </w:rPr>
            </w:pPr>
            <w:r>
              <w:rPr>
                <w:rFonts w:hint="eastAsia" w:ascii="宋体" w:hAnsi="宋体" w:eastAsia="宋体" w:cs="宋体"/>
                <w:spacing w:val="-2"/>
                <w:sz w:val="24"/>
                <w:szCs w:val="24"/>
              </w:rPr>
              <w:t>5.公厕周边脏乱，扣2分</w:t>
            </w:r>
          </w:p>
        </w:tc>
      </w:tr>
      <w:tr w14:paraId="522A0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exact"/>
          <w:jc w:val="center"/>
        </w:trPr>
        <w:tc>
          <w:tcPr>
            <w:tcW w:w="2328" w:type="dxa"/>
            <w:vMerge w:val="restart"/>
            <w:vAlign w:val="center"/>
          </w:tcPr>
          <w:p w14:paraId="75E6D1F4">
            <w:pPr>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pacing w:val="-3"/>
                <w:sz w:val="24"/>
                <w:szCs w:val="24"/>
              </w:rPr>
              <w:t>农村环境整治</w:t>
            </w:r>
          </w:p>
        </w:tc>
        <w:tc>
          <w:tcPr>
            <w:tcW w:w="2174" w:type="dxa"/>
            <w:vMerge w:val="restart"/>
            <w:vAlign w:val="center"/>
          </w:tcPr>
          <w:p w14:paraId="065C53A6">
            <w:pPr>
              <w:keepNext w:val="0"/>
              <w:keepLines w:val="0"/>
              <w:pageBreakBefore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pacing w:val="-9"/>
                <w:sz w:val="24"/>
                <w:szCs w:val="24"/>
              </w:rPr>
              <w:t>15分</w:t>
            </w:r>
          </w:p>
        </w:tc>
        <w:tc>
          <w:tcPr>
            <w:tcW w:w="5252" w:type="dxa"/>
            <w:vAlign w:val="center"/>
          </w:tcPr>
          <w:p w14:paraId="15CC6992">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2"/>
                <w:sz w:val="24"/>
                <w:szCs w:val="24"/>
              </w:rPr>
            </w:pPr>
            <w:r>
              <w:rPr>
                <w:rFonts w:hint="eastAsia" w:ascii="宋体" w:hAnsi="宋体" w:eastAsia="宋体" w:cs="宋体"/>
                <w:spacing w:val="-5"/>
                <w:sz w:val="24"/>
                <w:szCs w:val="24"/>
              </w:rPr>
              <w:t>1.发现1处长期乱堆乱放，扣2分</w:t>
            </w:r>
          </w:p>
        </w:tc>
      </w:tr>
      <w:tr w14:paraId="2FEA03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503CE145">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2174" w:type="dxa"/>
            <w:vMerge w:val="continue"/>
            <w:vAlign w:val="center"/>
          </w:tcPr>
          <w:p w14:paraId="0688FE1E">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5252" w:type="dxa"/>
            <w:vAlign w:val="center"/>
          </w:tcPr>
          <w:p w14:paraId="0593942B">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2.沟渠有漂浮物，扣3分</w:t>
            </w:r>
          </w:p>
        </w:tc>
      </w:tr>
      <w:tr w14:paraId="7910A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7AD6144D">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2174" w:type="dxa"/>
            <w:vMerge w:val="continue"/>
            <w:vAlign w:val="center"/>
          </w:tcPr>
          <w:p w14:paraId="6C22287B">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5252" w:type="dxa"/>
            <w:vAlign w:val="center"/>
          </w:tcPr>
          <w:p w14:paraId="5D1E61A3">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3.存在卫生死角积存垃圾，每处扣2分</w:t>
            </w:r>
          </w:p>
        </w:tc>
      </w:tr>
      <w:tr w14:paraId="3BBFD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0F539209">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2174" w:type="dxa"/>
            <w:vMerge w:val="continue"/>
            <w:vAlign w:val="center"/>
          </w:tcPr>
          <w:p w14:paraId="263703FF">
            <w:pPr>
              <w:pStyle w:val="9"/>
              <w:keepNext w:val="0"/>
              <w:keepLines w:val="0"/>
              <w:pageBreakBefore w:val="0"/>
              <w:widowControl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sz w:val="24"/>
                <w:szCs w:val="24"/>
              </w:rPr>
            </w:pPr>
          </w:p>
        </w:tc>
        <w:tc>
          <w:tcPr>
            <w:tcW w:w="5252" w:type="dxa"/>
            <w:vAlign w:val="center"/>
          </w:tcPr>
          <w:p w14:paraId="0A38FDD2">
            <w:pPr>
              <w:keepNext w:val="0"/>
              <w:keepLines w:val="0"/>
              <w:pageBreakBefore w:val="0"/>
              <w:kinsoku/>
              <w:wordWrap/>
              <w:overflowPunct/>
              <w:topLinePunct w:val="0"/>
              <w:autoSpaceDE/>
              <w:autoSpaceDN/>
              <w:bidi w:val="0"/>
              <w:adjustRightInd/>
              <w:snapToGrid/>
              <w:spacing w:line="240" w:lineRule="auto"/>
              <w:ind w:left="0" w:leftChars="0"/>
              <w:jc w:val="left"/>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4.专项整治任务未按时完成，扣5-10分</w:t>
            </w:r>
          </w:p>
        </w:tc>
      </w:tr>
      <w:tr w14:paraId="6DD30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restart"/>
            <w:vAlign w:val="center"/>
          </w:tcPr>
          <w:p w14:paraId="67508604">
            <w:pPr>
              <w:keepNext w:val="0"/>
              <w:keepLines w:val="0"/>
              <w:pageBreakBefore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人员设备管理</w:t>
            </w:r>
          </w:p>
        </w:tc>
        <w:tc>
          <w:tcPr>
            <w:tcW w:w="2174" w:type="dxa"/>
            <w:vMerge w:val="restart"/>
            <w:vAlign w:val="center"/>
          </w:tcPr>
          <w:p w14:paraId="43F8A8F8">
            <w:pPr>
              <w:keepNext w:val="0"/>
              <w:keepLines w:val="0"/>
              <w:pageBreakBefore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spacing w:val="-9"/>
                <w:sz w:val="24"/>
                <w:szCs w:val="24"/>
              </w:rPr>
              <w:t>10</w:t>
            </w:r>
            <w:r>
              <w:rPr>
                <w:rFonts w:hint="eastAsia" w:ascii="宋体" w:hAnsi="宋体" w:eastAsia="宋体" w:cs="宋体"/>
                <w:spacing w:val="18"/>
                <w:sz w:val="24"/>
                <w:szCs w:val="24"/>
              </w:rPr>
              <w:t xml:space="preserve"> </w:t>
            </w:r>
            <w:r>
              <w:rPr>
                <w:rFonts w:hint="eastAsia" w:ascii="宋体" w:hAnsi="宋体" w:eastAsia="宋体" w:cs="宋体"/>
                <w:spacing w:val="-9"/>
                <w:sz w:val="24"/>
                <w:szCs w:val="24"/>
              </w:rPr>
              <w:t>分</w:t>
            </w:r>
          </w:p>
        </w:tc>
        <w:tc>
          <w:tcPr>
            <w:tcW w:w="5252" w:type="dxa"/>
            <w:vAlign w:val="center"/>
          </w:tcPr>
          <w:p w14:paraId="0237F265">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pacing w:val="-1"/>
                <w:sz w:val="24"/>
                <w:szCs w:val="24"/>
              </w:rPr>
            </w:pPr>
            <w:r>
              <w:rPr>
                <w:rFonts w:hint="eastAsia" w:ascii="宋体" w:hAnsi="宋体" w:eastAsia="宋体" w:cs="宋体"/>
                <w:spacing w:val="-5"/>
                <w:sz w:val="24"/>
                <w:szCs w:val="24"/>
              </w:rPr>
              <w:t>1.人员配置未达最低标准，每缺1人扣5</w:t>
            </w:r>
            <w:r>
              <w:rPr>
                <w:rFonts w:hint="eastAsia" w:ascii="宋体" w:hAnsi="宋体" w:eastAsia="宋体" w:cs="宋体"/>
                <w:sz w:val="24"/>
                <w:szCs w:val="24"/>
              </w:rPr>
              <w:t>分</w:t>
            </w:r>
          </w:p>
        </w:tc>
      </w:tr>
      <w:tr w14:paraId="514E4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734F608E">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020DF352">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4ED8EE06">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pacing w:val="-1"/>
                <w:sz w:val="24"/>
                <w:szCs w:val="24"/>
              </w:rPr>
            </w:pPr>
            <w:r>
              <w:rPr>
                <w:rFonts w:hint="eastAsia" w:ascii="宋体" w:hAnsi="宋体" w:eastAsia="宋体" w:cs="宋体"/>
                <w:spacing w:val="-4"/>
                <w:sz w:val="24"/>
                <w:szCs w:val="24"/>
              </w:rPr>
              <w:t>2.设备配置未达最低标准，每缺1台/</w:t>
            </w:r>
            <w:r>
              <w:rPr>
                <w:rFonts w:hint="eastAsia" w:ascii="宋体" w:hAnsi="宋体" w:eastAsia="宋体" w:cs="宋体"/>
                <w:spacing w:val="-8"/>
                <w:sz w:val="24"/>
                <w:szCs w:val="24"/>
              </w:rPr>
              <w:t>套扣3分</w:t>
            </w:r>
          </w:p>
        </w:tc>
      </w:tr>
      <w:tr w14:paraId="74E46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35E26911">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57BE7A4E">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19628D14">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1"/>
                <w:sz w:val="24"/>
                <w:szCs w:val="24"/>
              </w:rPr>
            </w:pPr>
            <w:r>
              <w:rPr>
                <w:rFonts w:hint="eastAsia" w:ascii="宋体" w:hAnsi="宋体" w:eastAsia="宋体" w:cs="宋体"/>
                <w:spacing w:val="-4"/>
                <w:sz w:val="24"/>
                <w:szCs w:val="24"/>
              </w:rPr>
              <w:t>3.设备完好率低于95%，每低1%扣2分</w:t>
            </w:r>
          </w:p>
        </w:tc>
      </w:tr>
      <w:tr w14:paraId="05226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02663C03">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262F01F1">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0CE0CB7A">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1"/>
                <w:sz w:val="24"/>
                <w:szCs w:val="24"/>
              </w:rPr>
            </w:pPr>
            <w:r>
              <w:rPr>
                <w:rFonts w:hint="eastAsia" w:ascii="宋体" w:hAnsi="宋体" w:eastAsia="宋体" w:cs="宋体"/>
                <w:spacing w:val="-2"/>
                <w:sz w:val="24"/>
                <w:szCs w:val="24"/>
              </w:rPr>
              <w:t>4.未建立设备台账，扣2分</w:t>
            </w:r>
          </w:p>
        </w:tc>
      </w:tr>
      <w:tr w14:paraId="00070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restart"/>
            <w:vAlign w:val="center"/>
          </w:tcPr>
          <w:p w14:paraId="6EECFB85">
            <w:pPr>
              <w:keepNext w:val="0"/>
              <w:keepLines w:val="0"/>
              <w:pageBreakBefore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劳动保障与设</w:t>
            </w:r>
            <w:r>
              <w:rPr>
                <w:rFonts w:hint="eastAsia" w:ascii="宋体" w:hAnsi="宋体" w:eastAsia="宋体" w:cs="宋体"/>
                <w:spacing w:val="-6"/>
                <w:sz w:val="24"/>
                <w:szCs w:val="24"/>
              </w:rPr>
              <w:t>施维修</w:t>
            </w:r>
          </w:p>
        </w:tc>
        <w:tc>
          <w:tcPr>
            <w:tcW w:w="2174" w:type="dxa"/>
            <w:vMerge w:val="restart"/>
            <w:vAlign w:val="center"/>
          </w:tcPr>
          <w:p w14:paraId="44E39E64">
            <w:pPr>
              <w:keepNext w:val="0"/>
              <w:keepLines w:val="0"/>
              <w:pageBreakBefore w:val="0"/>
              <w:kinsoku/>
              <w:wordWrap/>
              <w:overflowPunct/>
              <w:topLinePunct w:val="0"/>
              <w:autoSpaceDE/>
              <w:autoSpaceDN/>
              <w:bidi w:val="0"/>
              <w:adjustRightInd/>
              <w:snapToGrid/>
              <w:spacing w:line="240" w:lineRule="auto"/>
              <w:ind w:left="0" w:right="0" w:firstLine="0"/>
              <w:jc w:val="center"/>
              <w:textAlignment w:val="auto"/>
              <w:rPr>
                <w:rFonts w:hint="eastAsia" w:ascii="宋体" w:hAnsi="宋体" w:eastAsia="宋体" w:cs="宋体"/>
                <w:sz w:val="24"/>
                <w:szCs w:val="24"/>
              </w:rPr>
            </w:pPr>
            <w:r>
              <w:rPr>
                <w:rFonts w:hint="eastAsia" w:ascii="宋体" w:hAnsi="宋体" w:eastAsia="宋体" w:cs="宋体"/>
                <w:spacing w:val="-9"/>
                <w:sz w:val="24"/>
                <w:szCs w:val="24"/>
              </w:rPr>
              <w:t>15分</w:t>
            </w:r>
          </w:p>
        </w:tc>
        <w:tc>
          <w:tcPr>
            <w:tcW w:w="5252" w:type="dxa"/>
            <w:vAlign w:val="center"/>
          </w:tcPr>
          <w:p w14:paraId="36CD18F8">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2"/>
                <w:sz w:val="24"/>
                <w:szCs w:val="24"/>
              </w:rPr>
            </w:pPr>
            <w:r>
              <w:rPr>
                <w:rFonts w:hint="eastAsia" w:ascii="宋体" w:hAnsi="宋体" w:eastAsia="宋体" w:cs="宋体"/>
                <w:spacing w:val="-3"/>
                <w:sz w:val="24"/>
                <w:szCs w:val="24"/>
              </w:rPr>
              <w:t>1.拖欠或克扣员工工资，每次扣10分</w:t>
            </w:r>
          </w:p>
        </w:tc>
      </w:tr>
      <w:tr w14:paraId="78237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3EAD5539">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4CD14DCD">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056FEA2A">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2.未按规定发放劳保用品，每人次扣2分</w:t>
            </w:r>
          </w:p>
        </w:tc>
      </w:tr>
      <w:tr w14:paraId="49D8C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1CAD9E9C">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51546AEF">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25A1747D">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3.未为员工购买保险，每人次扣5分</w:t>
            </w:r>
          </w:p>
        </w:tc>
      </w:tr>
      <w:tr w14:paraId="4FE68E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146BF1D3">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4976D2E1">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2B978E18">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4.设施损坏未及时维修更换，每处扣2分</w:t>
            </w:r>
          </w:p>
        </w:tc>
      </w:tr>
      <w:tr w14:paraId="6E69F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328" w:type="dxa"/>
            <w:vMerge w:val="continue"/>
            <w:vAlign w:val="center"/>
          </w:tcPr>
          <w:p w14:paraId="385A2C0D">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2174" w:type="dxa"/>
            <w:vMerge w:val="continue"/>
            <w:vAlign w:val="center"/>
          </w:tcPr>
          <w:p w14:paraId="69D55216">
            <w:pPr>
              <w:pStyle w:val="9"/>
              <w:keepNext w:val="0"/>
              <w:keepLines w:val="0"/>
              <w:pageBreakBefore w:val="0"/>
              <w:widowControl w:val="0"/>
              <w:kinsoku/>
              <w:wordWrap/>
              <w:overflowPunct/>
              <w:topLinePunct w:val="0"/>
              <w:autoSpaceDE/>
              <w:autoSpaceDN/>
              <w:bidi w:val="0"/>
              <w:adjustRightInd/>
              <w:snapToGrid w:val="0"/>
              <w:spacing w:line="240" w:lineRule="auto"/>
              <w:ind w:left="0" w:right="0" w:firstLine="0"/>
              <w:jc w:val="center"/>
              <w:textAlignment w:val="auto"/>
              <w:rPr>
                <w:rFonts w:hint="eastAsia" w:ascii="宋体" w:hAnsi="宋体" w:eastAsia="宋体" w:cs="宋体"/>
                <w:sz w:val="24"/>
                <w:szCs w:val="24"/>
              </w:rPr>
            </w:pPr>
          </w:p>
        </w:tc>
        <w:tc>
          <w:tcPr>
            <w:tcW w:w="5252" w:type="dxa"/>
            <w:vAlign w:val="center"/>
          </w:tcPr>
          <w:p w14:paraId="759DC3A6">
            <w:pPr>
              <w:keepNext w:val="0"/>
              <w:keepLines w:val="0"/>
              <w:pageBreakBefore w:val="0"/>
              <w:kinsoku/>
              <w:wordWrap/>
              <w:overflowPunct/>
              <w:topLinePunct w:val="0"/>
              <w:autoSpaceDE/>
              <w:autoSpaceDN/>
              <w:bidi w:val="0"/>
              <w:adjustRightInd/>
              <w:snapToGrid/>
              <w:spacing w:line="240" w:lineRule="auto"/>
              <w:ind w:left="0" w:leftChars="0" w:right="0" w:firstLine="0"/>
              <w:textAlignment w:val="auto"/>
              <w:rPr>
                <w:rFonts w:hint="eastAsia" w:ascii="宋体" w:hAnsi="宋体" w:eastAsia="宋体" w:cs="宋体"/>
                <w:spacing w:val="-2"/>
                <w:sz w:val="24"/>
                <w:szCs w:val="24"/>
              </w:rPr>
            </w:pPr>
            <w:r>
              <w:rPr>
                <w:rFonts w:hint="eastAsia" w:ascii="宋体" w:hAnsi="宋体" w:eastAsia="宋体" w:cs="宋体"/>
                <w:spacing w:val="-1"/>
                <w:sz w:val="24"/>
                <w:szCs w:val="24"/>
              </w:rPr>
              <w:t>5.未落实节日福利或补贴，每次扣5分</w:t>
            </w:r>
          </w:p>
        </w:tc>
      </w:tr>
    </w:tbl>
    <w:p w14:paraId="7F6A0208">
      <w:pPr>
        <w:pStyle w:val="3"/>
        <w:keepNext w:val="0"/>
        <w:keepLines w:val="0"/>
        <w:pageBreakBefore w:val="0"/>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补充扣分条款：</w:t>
      </w:r>
    </w:p>
    <w:p w14:paraId="7C523DEA">
      <w:pPr>
        <w:pStyle w:val="3"/>
        <w:keepNext w:val="0"/>
        <w:keepLines w:val="0"/>
        <w:pageBreakBefore w:val="0"/>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pacing w:val="-60"/>
          <w:sz w:val="24"/>
          <w:szCs w:val="24"/>
        </w:rPr>
        <w:t xml:space="preserve"> </w:t>
      </w:r>
      <w:r>
        <w:rPr>
          <w:rFonts w:hint="eastAsia" w:ascii="宋体" w:hAnsi="宋体" w:eastAsia="宋体" w:cs="宋体"/>
          <w:sz w:val="24"/>
          <w:szCs w:val="24"/>
        </w:rPr>
        <w:t>日常抽查发现的问题累计计入当月考核；同一问题整改不到</w:t>
      </w:r>
      <w:r>
        <w:rPr>
          <w:rFonts w:hint="eastAsia" w:ascii="宋体" w:hAnsi="宋体" w:eastAsia="宋体" w:cs="宋体"/>
          <w:spacing w:val="5"/>
          <w:sz w:val="24"/>
          <w:szCs w:val="24"/>
        </w:rPr>
        <w:t>位的，加倍扣分。</w:t>
      </w:r>
    </w:p>
    <w:p w14:paraId="001C613D">
      <w:pPr>
        <w:pStyle w:val="3"/>
        <w:keepNext w:val="0"/>
        <w:keepLines w:val="0"/>
        <w:pageBreakBefore w:val="0"/>
        <w:kinsoku/>
        <w:wordWrap/>
        <w:overflowPunct/>
        <w:topLinePunct w:val="0"/>
        <w:autoSpaceDE/>
        <w:autoSpaceDN/>
        <w:bidi w:val="0"/>
        <w:adjustRightInd/>
        <w:snapToGrid/>
        <w:spacing w:after="0" w:line="240" w:lineRule="auto"/>
        <w:ind w:left="0" w:right="0" w:firstLine="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w:t>
      </w:r>
      <w:r>
        <w:rPr>
          <w:rFonts w:hint="eastAsia" w:ascii="宋体" w:hAnsi="宋体" w:eastAsia="宋体" w:cs="宋体"/>
          <w:spacing w:val="9"/>
          <w:sz w:val="24"/>
          <w:szCs w:val="24"/>
        </w:rPr>
        <w:t>因服务不到位被上级部门通报批评或媒体曝光的，每次扣</w:t>
      </w:r>
      <w:r>
        <w:rPr>
          <w:rFonts w:hint="eastAsia" w:ascii="宋体" w:hAnsi="宋体" w:eastAsia="宋体" w:cs="宋体"/>
          <w:spacing w:val="-4"/>
          <w:sz w:val="24"/>
          <w:szCs w:val="24"/>
        </w:rPr>
        <w:t>10-20分。</w:t>
      </w:r>
    </w:p>
    <w:p w14:paraId="57FF4E61">
      <w:r>
        <w:rPr>
          <w:rFonts w:hint="eastAsia" w:ascii="宋体" w:hAnsi="宋体" w:eastAsia="宋体" w:cs="宋体"/>
          <w:spacing w:val="8"/>
          <w:sz w:val="24"/>
          <w:szCs w:val="24"/>
        </w:rPr>
        <w:t>3</w:t>
      </w:r>
      <w:r>
        <w:rPr>
          <w:rFonts w:hint="eastAsia" w:ascii="宋体" w:hAnsi="宋体" w:eastAsia="宋体" w:cs="宋体"/>
          <w:spacing w:val="8"/>
          <w:sz w:val="24"/>
          <w:szCs w:val="24"/>
          <w:lang w:val="en-US" w:eastAsia="zh-CN"/>
        </w:rPr>
        <w:t>.</w:t>
      </w:r>
      <w:r>
        <w:rPr>
          <w:rFonts w:hint="eastAsia" w:ascii="宋体" w:hAnsi="宋体" w:eastAsia="宋体" w:cs="宋体"/>
          <w:spacing w:val="8"/>
          <w:sz w:val="24"/>
          <w:szCs w:val="24"/>
        </w:rPr>
        <w:t>发生安全生产责任事故的，每次扣20-50分，情节严重的</w:t>
      </w:r>
      <w:r>
        <w:rPr>
          <w:rFonts w:hint="eastAsia" w:ascii="宋体" w:hAnsi="宋体" w:eastAsia="宋体" w:cs="宋体"/>
          <w:spacing w:val="3"/>
          <w:sz w:val="24"/>
          <w:szCs w:val="24"/>
        </w:rPr>
        <w:t>解除合同。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F16CE"/>
    <w:rsid w:val="67EF1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0"/>
    <w:pPr>
      <w:keepNext/>
      <w:keepLines/>
      <w:widowControl/>
      <w:spacing w:before="340" w:after="330" w:line="576" w:lineRule="auto"/>
      <w:jc w:val="left"/>
      <w:outlineLvl w:val="0"/>
    </w:pPr>
    <w:rPr>
      <w:rFonts w:ascii="Times New Roman" w:hAnsi="Times New Roman" w:eastAsia="宋体" w:cs="Times New Roman"/>
      <w:b/>
      <w:kern w:val="44"/>
      <w:sz w:val="44"/>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unhideWhenUsed/>
    <w:qFormat/>
    <w:uiPriority w:val="0"/>
    <w:pPr>
      <w:widowControl/>
      <w:spacing w:after="120" w:line="360" w:lineRule="auto"/>
      <w:jc w:val="left"/>
    </w:pPr>
    <w:rPr>
      <w:rFonts w:ascii="宋体" w:hAnsi="Times New Roman" w:eastAsia="宋体" w:cs="Times New Roman"/>
      <w:kern w:val="0"/>
      <w:sz w:val="24"/>
      <w:szCs w:val="20"/>
    </w:rPr>
  </w:style>
  <w:style w:type="paragraph" w:styleId="4">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 w:type="character" w:customStyle="1" w:styleId="7">
    <w:name w:val="标题 1 Char"/>
    <w:basedOn w:val="6"/>
    <w:link w:val="2"/>
    <w:qFormat/>
    <w:uiPriority w:val="0"/>
    <w:rPr>
      <w:rFonts w:ascii="Times New Roman" w:hAnsi="Times New Roman" w:eastAsia="宋体" w:cs="Times New Roman"/>
      <w:b/>
      <w:kern w:val="44"/>
      <w:sz w:val="44"/>
      <w:szCs w:val="20"/>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2026-07-03T11:20:00Z</dcterms:created>
  <dc:creator>苍白假面</dc:creator>
  <cp:lastModifiedBy>苍白假面</cp:lastModifiedBy>
  <dcterms:modified xsi:type="dcterms:W3CDTF">2026-07-03T11:20:19Z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E7256748B8454492B94A846E8023DC29_11</vt:lpwstr>
  </property>
  <property fmtid="{D5CDD505-2E9C-101B-9397-08002B2CF9AE}" pid="4" name="KSOTemplateDocerSaveRecord">
    <vt:lpwstr>eyJoZGlkIjoiY2U1ZTlkNThkYmUxMjkwM2M5Y2E1YWM0NWQ1ZjUwMDUiLCJ1c2VySWQiOiIyNzI4NDY5MDUifQ==</vt:lpwstr>
  </property>
</Properties>
</file>