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版本号：ZY2026-ZB-CS107320260813001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2026年西安市福利彩票发行中心新媒体运营服务项目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ZY2026-ZB-CS1073</w:t>
      </w:r>
      <w:r>
        <w:br/>
      </w:r>
      <w:r>
        <w:br/>
      </w:r>
      <w:r>
        <w:br/>
      </w:r>
    </w:p>
    <w:p>
      <w:pPr>
        <w:pStyle w:val="null3"/>
        <w:jc w:val="center"/>
        <w:outlineLvl w:val="2"/>
      </w:pPr>
      <w:r>
        <w:rPr>
          <w:rFonts w:ascii="仿宋_GB2312" w:hAnsi="仿宋_GB2312" w:cs="仿宋_GB2312" w:eastAsia="仿宋_GB2312"/>
          <w:sz w:val="28"/>
          <w:b/>
        </w:rPr>
        <w:t>西安市福利彩票发行中心（本级）</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西安市福利彩票发行中心（本级）</w:t>
      </w:r>
      <w:r>
        <w:rPr>
          <w:rFonts w:ascii="仿宋_GB2312" w:hAnsi="仿宋_GB2312" w:cs="仿宋_GB2312" w:eastAsia="仿宋_GB2312"/>
        </w:rPr>
        <w:t>委托，拟对</w:t>
      </w:r>
      <w:r>
        <w:rPr>
          <w:rFonts w:ascii="仿宋_GB2312" w:hAnsi="仿宋_GB2312" w:cs="仿宋_GB2312" w:eastAsia="仿宋_GB2312"/>
        </w:rPr>
        <w:t>2026年西安市福利彩票发行中心新媒体运营服务项目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ZY2026-ZB-CS1073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2026年西安市福利彩票发行中心新媒体运营服务项目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承担西安福彩公众号、视频号、抖音、小红书、快手等新媒体平台日常维护和信息发布，配合营销活动及其他工作安排开展视频、文稿、图片等宣传内容采写、编辑、发布，组织福彩业主自媒体平台运营培训，开展全市福彩系统短视频大赛，扩大福彩品牌影响力，培育我市自媒体宣传队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采购包1（2026年西安市福利彩票发行中心新媒体运营服务项目）：属于专门面向小微企业采购。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1、营业执照等主体资格证明文件：提供有效合格的具有统一社会信用代码的营业执照，其他组织经营的需提供合法凭证，自然人提供身份证明文件。</w:t>
      </w:r>
    </w:p>
    <w:p>
      <w:pPr>
        <w:pStyle w:val="null3"/>
      </w:pPr>
      <w:r>
        <w:rPr>
          <w:rFonts w:ascii="仿宋_GB2312" w:hAnsi="仿宋_GB2312" w:cs="仿宋_GB2312" w:eastAsia="仿宋_GB2312"/>
        </w:rPr>
        <w:t>2、财务状况报告：提供2025年度经审计的完整财务报告或磋商截止日前三个月内其基本存款账户开户银行出具的资信证明。（如提供资信证明，须同时提供基本存款账户开户许可证或基本账户信息表）。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3、税收缴纳证明：提供磋商截止时间前6个月内的至少一个月的纳税证明（时间以税款所属日期为准)，依法免税的单位应提供相关证明材料。</w:t>
      </w:r>
    </w:p>
    <w:p>
      <w:pPr>
        <w:pStyle w:val="null3"/>
      </w:pPr>
      <w:r>
        <w:rPr>
          <w:rFonts w:ascii="仿宋_GB2312" w:hAnsi="仿宋_GB2312" w:cs="仿宋_GB2312" w:eastAsia="仿宋_GB2312"/>
        </w:rPr>
        <w:t>4、社会保障资金缴纳证明：提供磋商截止时间前6个月内至少一个月的社会保障资金缴存单据或社保机构开具的社会保险参保缴费情况证明，依法不需要缴纳社会保障资金的单位应提供相关证明材料。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5、具有履行本合同所必需的设备和专业技术能力：提供具有履行本合同所必需的设备和专业技术能力的书面声明。</w:t>
      </w:r>
    </w:p>
    <w:p>
      <w:pPr>
        <w:pStyle w:val="null3"/>
      </w:pPr>
      <w:r>
        <w:rPr>
          <w:rFonts w:ascii="仿宋_GB2312" w:hAnsi="仿宋_GB2312" w:cs="仿宋_GB2312" w:eastAsia="仿宋_GB2312"/>
        </w:rPr>
        <w:t>6、参加本次政府采购活动前三年内在经营活动中没有重大违法记录：提供参加本次政府采购活动前三年内在经营活动中没有重大违法记录的书面声明。</w:t>
      </w:r>
    </w:p>
    <w:p>
      <w:pPr>
        <w:pStyle w:val="null3"/>
      </w:pPr>
      <w:r>
        <w:rPr>
          <w:rFonts w:ascii="仿宋_GB2312" w:hAnsi="仿宋_GB2312" w:cs="仿宋_GB2312" w:eastAsia="仿宋_GB2312"/>
        </w:rPr>
        <w:t>7、控股关系：单位负责人为同一人或者存在直接控股、管理关系的不同投标人，不得同时参加本项目磋商，提供企业关联关系的声明函。</w:t>
      </w:r>
    </w:p>
    <w:p>
      <w:pPr>
        <w:pStyle w:val="null3"/>
      </w:pPr>
      <w:r>
        <w:rPr>
          <w:rFonts w:ascii="仿宋_GB2312" w:hAnsi="仿宋_GB2312" w:cs="仿宋_GB2312" w:eastAsia="仿宋_GB2312"/>
        </w:rPr>
        <w:t>8、信用记录：未被列入信用中国网站(www.creditchina.gov.cn)“失信被执行人、重大税收违法失信主体”；不处于中国政府采购网(www.ccgp.gov.cn)“政府采购严重违法失信行为信息记录”中的禁止参加政府采购活动期间。（以开标现场代理机构查询结果为准）</w:t>
      </w:r>
    </w:p>
    <w:p>
      <w:pPr>
        <w:pStyle w:val="null3"/>
      </w:pPr>
      <w:r>
        <w:rPr>
          <w:rFonts w:ascii="仿宋_GB2312" w:hAnsi="仿宋_GB2312" w:cs="仿宋_GB2312" w:eastAsia="仿宋_GB2312"/>
        </w:rPr>
        <w:t>9、法定代表人身份证明书/授权委托书：法定代表人参加磋商时，提供法定代表人身份证明书；被授权人参加开标时，提供授权委托书及被授权人磋商前（不含磋商当月）三个月至少一个月在本单位缴纳的社保缴费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西安市福利彩票发行中心（本级）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西安市未央区北二环369号华帝金座A座9A</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029-86276319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考国家计委颁布《招标代理服务收费管理暂行办法》（计价格〔2002〕1980号）和国家发展和改革委员会办公厅颁发的《关于招标代理服务收费有关问题的通知》（发改办价格〔2003〕857号）文件规定执行，不足8000元，按8000元收取。 收款账户如下： 收款单位：陕西正翼项目管理咨询有限公司西安分公司 开户银行：中国光大银行股份有限公司西安经济技术开发区支行； 银行账号：78680188000360910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西安市福利彩票发行中心（本级）</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西安市福利彩票发行中心（本级）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西安市福利彩票发行中心（本级）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根据采购文件规定的验收标准和方法进行验收。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联系电话：029-86210100转611</w:t>
      </w:r>
    </w:p>
    <w:p>
      <w:pPr>
        <w:pStyle w:val="null3"/>
      </w:pPr>
      <w:r>
        <w:rPr>
          <w:rFonts w:ascii="仿宋_GB2312" w:hAnsi="仿宋_GB2312" w:cs="仿宋_GB2312" w:eastAsia="仿宋_GB2312"/>
        </w:rPr>
        <w:t>地址：陕西省西安经济技术开发区凤城五路123号秦创原·软科中心B座11层1101室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承担西安福彩公众号、视频号、抖音、小红书、快手等新媒体平台日常维护和信息发布，配合营销活动及其他工作安排开展视频、文稿、图片等宣传内容采写、编辑、发布，组织福彩业主自媒体平台运营培训，开展全市福彩系统短视频大赛，扩大福彩品牌影响力，培育我市自媒体宣传队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服务内容</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）具有摄影、摄像、文稿采编、图片制作、海报设计、视频剪辑、</w:t>
            </w:r>
            <w:r>
              <w:rPr>
                <w:rFonts w:ascii="仿宋_GB2312" w:hAnsi="仿宋_GB2312" w:cs="仿宋_GB2312" w:eastAsia="仿宋_GB2312"/>
                <w:sz w:val="21"/>
              </w:rPr>
              <w:t>AI技术运用、新媒体运营培训等方面的专业人员。</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）至少有</w:t>
            </w:r>
            <w:r>
              <w:rPr>
                <w:rFonts w:ascii="仿宋_GB2312" w:hAnsi="仿宋_GB2312" w:cs="仿宋_GB2312" w:eastAsia="仿宋_GB2312"/>
                <w:sz w:val="21"/>
              </w:rPr>
              <w:t>1名工作人员常驻我单位，负责工作协调、调度工作。</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）需要运营的新媒体平台：西安福彩微信公众号和视频号、抖音账号、快手账号、小红书账号，后期根据工作需要也可能会增加其他新媒体平台。</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）所有新媒体平台要在每周相对固定时间发布内容，每周至少更新一次，遇有营销活动、公益宣传等紧急、重要的宣传工作任务，需及时响应，配合完成。</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）开展多形式的新媒体运营培训，累计培训不少于</w:t>
            </w:r>
            <w:r>
              <w:rPr>
                <w:rFonts w:ascii="仿宋_GB2312" w:hAnsi="仿宋_GB2312" w:cs="仿宋_GB2312" w:eastAsia="仿宋_GB2312"/>
                <w:sz w:val="21"/>
              </w:rPr>
              <w:t>500站次（人次）。</w:t>
            </w:r>
          </w:p>
          <w:p>
            <w:pPr>
              <w:pStyle w:val="null3"/>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）中大奖宣传，需在开奖结果公布后的第一个工作日内完成稿件采写工作，</w:t>
            </w:r>
            <w:r>
              <w:rPr>
                <w:rFonts w:ascii="仿宋_GB2312" w:hAnsi="仿宋_GB2312" w:cs="仿宋_GB2312" w:eastAsia="仿宋_GB2312"/>
                <w:sz w:val="21"/>
              </w:rPr>
              <w:t>2个工作日内完成视频拍摄剪辑工作。</w:t>
            </w:r>
          </w:p>
          <w:p>
            <w:pPr>
              <w:pStyle w:val="null3"/>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）所有宣传内容，需经本单位审核通过后方可对外发布。</w:t>
            </w:r>
          </w:p>
          <w:p>
            <w:pPr>
              <w:pStyle w:val="null3"/>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）所有对外发布的内容版权均为我单位所有，在服务期间涉及的版权纠纷由服务商承担相关责任。</w:t>
            </w:r>
          </w:p>
          <w:p>
            <w:pPr>
              <w:pStyle w:val="null3"/>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）配合完成中福彩中心、省福彩中心、市民政局交办的其他宣传工作任务。</w:t>
            </w:r>
          </w:p>
          <w:p>
            <w:pPr>
              <w:pStyle w:val="null3"/>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）服务期满前需提交一部不少于</w:t>
            </w:r>
            <w:r>
              <w:rPr>
                <w:rFonts w:ascii="仿宋_GB2312" w:hAnsi="仿宋_GB2312" w:cs="仿宋_GB2312" w:eastAsia="仿宋_GB2312"/>
                <w:sz w:val="21"/>
              </w:rPr>
              <w:t>10分钟的西安福彩工作宣传片。</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服务标准：按照合同约定和我单位工作需要，完成新媒体平台日常运营、自媒体平台运营培训、举办短视频大赛等工作，无重大失误。</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满足项目实施需求，确保项目顺利实施。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满足本项目需求及磋商文件要求。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西安市福利彩票发行中心指定地点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甲乙双方共同完成验收，乙方出具验收报告并填写验收单。按照合同约定和我单位工作需要，完成新媒体平台日常运营、自媒体平台运营培训、举办短视频大赛等工作，无重大失误。 现行的国家标准或国家行政部门颁布的法律法规、规章制度等，是项目验收的重要依据，采购单位根据有关规范、规定及项目要求对服务进行检查或考核，服务方须接受采购人的各类考核或检查；若验收不通过或服务质量不符合采购要求，服务方应在一定期限内以采购人要求的标准进行整改或进一步完善，并再次进行考核或检查，若服务方在接受检查整改后最终仍未按要求提供符合要求的服务，采购人有权按违约予以撤项，由此产生的一切责任和费用均由服务方承担，具体按照合同相关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预付款，服务开始后，达到付款条件起10个工作日内，支付合同总金额的50.0%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进度款，服务期满2个月后，达到付款条件起10个工作日内，支付合同总金额的30.0%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根据甲乙双方最终合同约定执行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一、报价要求： 供应商的磋商报价是供应商响应磋商项目要求的全部工作内容的价格体现，包括供应商完成本项目所需的直接费用、间接费用、利润、税金及其它相关的一切费用，包括但不限于：人工费、设备使用费、资料费、管理费、验收费、利润、税金及不可预见费等全部费用；在提供服务的过程中的任何遗漏，均由成交供应商免费提供，采购人将不再支付任何费用。 二、磋商有效期 1.出现特殊情况需要延长磋商有效期的，采购代理机构或采购人可于磋商有效期满之前，以书面形式通知所有供应商延长磋商有效期。 2.在磋商有效期内，供应商撤销响应文件的，应承担磋商文件和法律规定的责任。 3.成交供应商的磋商有效期自动延长至合同终止为止。 三、合格供应商少于3家的处理 1.评审过程中，若出现合格供应商只有2家时，符合《政府采购竞争性磋商采购方式管理暂行办法》第三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四、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正本一套、副本一套（电子版U盘一份）用于备案，纸质响应文件应通过专用制作软件直接打印，确保与项目电子化交易系统中的电子响应文件保持一致，不允许修改和补充。中标（成交）通知书领取地址：陕西省西安经济技术开发区凤城五路123号秦创原·软科中心B座11层1101室招采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2025年度经审计的完整财务报告或磋商截止日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本采购包专门面向小微企业采购，参与的供应商服务全部由符合政策要求的小微企业承接。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提供有效合格的具有统一社会信用代码的营业执照，其他组织经营的需提供合法凭证，自然人提供身份证明文件。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提供2025年度经审计的完整财务报告或磋商截止日前三个月内其基本存款账户开户银行出具的资信证明。（如提供资信证明，须同时提供基本存款账户开户许可证或基本账户信息表）。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提供磋商截止时间前6个月内的至少一个月的纳税证明（时间以税款所属日期为准)，依法免税的单位应提供相关证明材料。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提供磋商截止时间前6个月内至少一个月的社会保障资金缴存单据或社保机构开具的社会保险参保缴费情况证明，依法不需要缴纳社会保障资金的单位应提供相关证明材料。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单位负责人为同一人或者存在直接控股、管理关系的不同投标人，不得同时参加本项目磋商，提供企业关联关系的声明函。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www.creditchina.gov.cn)“失信被执行人、重大税收违法失信主体”；不处于中国政府采购网(www.ccgp.gov.cn)“政府采购严重违法失信行为信息记录”中的禁止参加政府采购活动期间。（以开标现场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法定代表人参加磋商时，提供法定代表人身份证明书；被授权人参加开标时，提供授权委托书及被授权人磋商前（不含磋商当月）三个月至少一个月在本单位缴纳的社保缴费证明。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在磋商过程中，有下列情形之一的，磋商小组将启动异常低价投标（响应）审查程序：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4.磋商小组基于专业判断，认为供应商报价过低，有可能影响产品质量或者不能诚信履约的其他情形。 有以上情形的，供应商在接到通知时间起30分钟内提交书面说明（未在规定时间内提交书面说明的按低于成本价，按无效投标处理），书面说明应当按照国家财务会计制度的规定要求，逐项就投标人提供的货物、工程和服务的主营业务成本（应根据投标人企业类型予以区别）、税金及附加、销售费用、管理费用、财务费用等成本构成事项详细陈述。投标人提交的相关说明和证明材料，应当加盖投标人（法定名称）电子印章，在评标委员会要求的时间内通过项目电子化交易系统进行提交，否则提交的相关证明材料无效。投标人不能证明其投标报价合理性的，磋商小组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响应文件的签署、盖章及格式</w:t>
            </w:r>
          </w:p>
        </w:tc>
        <w:tc>
          <w:tcPr>
            <w:tcW w:type="dxa" w:w="3322"/>
          </w:tcPr>
          <w:p>
            <w:pPr>
              <w:pStyle w:val="null3"/>
            </w:pPr>
            <w:r>
              <w:rPr>
                <w:rFonts w:ascii="仿宋_GB2312" w:hAnsi="仿宋_GB2312" w:cs="仿宋_GB2312" w:eastAsia="仿宋_GB2312"/>
              </w:rPr>
              <w:t>符合采购文件中有关“响应文件格式”及签署、盖章要求 （注：不得因文件排序、页码、名称统一、序号等非实质性的格式、形式问题及个别遗漏或瑕疵的签署或盖章问题而限制和影响供应商响应）。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供应商基本情况表.docx 标的清单 报价表 响应函 资格证明文件.docx 监狱企业的证明文件 商务、技术文件.docx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只能有一个有效报价，不得提交选择性报价，且报价不超过采购文件中规定的采购预算金额和最高限价。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对采购文件的响应程度</w:t>
            </w:r>
          </w:p>
        </w:tc>
        <w:tc>
          <w:tcPr>
            <w:tcW w:type="dxa" w:w="3322"/>
          </w:tcPr>
          <w:p>
            <w:pPr>
              <w:pStyle w:val="null3"/>
            </w:pPr>
            <w:r>
              <w:rPr>
                <w:rFonts w:ascii="仿宋_GB2312" w:hAnsi="仿宋_GB2312" w:cs="仿宋_GB2312" w:eastAsia="仿宋_GB2312"/>
              </w:rPr>
              <w:t>响应文件内容齐全、无遗漏，符合采购文件中的实质性条款要求，且未含有采购人不能接受的附加条件。</w:t>
            </w:r>
          </w:p>
        </w:tc>
        <w:tc>
          <w:tcPr>
            <w:tcW w:type="dxa" w:w="1661"/>
          </w:tcPr>
          <w:p>
            <w:pPr>
              <w:pStyle w:val="null3"/>
            </w:pPr>
            <w:r>
              <w:rPr>
                <w:rFonts w:ascii="仿宋_GB2312" w:hAnsi="仿宋_GB2312" w:cs="仿宋_GB2312" w:eastAsia="仿宋_GB2312"/>
              </w:rPr>
              <w:t>供应商基本情况表.docx 标的清单 报价表 资格证明文件.docx 商务、技术文件.docx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中小企业声明函 残疾人福利性单位声明函 供应商基本情况表.docx 标的清单 报价表 响应函 资格证明文件.docx 监狱企业的证明文件 商务、技术文件.docx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一、评审标准细化内容： 供应商针对本项目提供新媒体运营服务方案，内容包含但不限于：①平台日常运营方案（平台包括：西安福彩微信公众号和视频号、抖音账号、快手账号、小红书账号及后期根据工作需要也可能会增加其他新媒体平台）；②多形式新媒体运营培训方案；③中大奖宣传服务方案；④配合完成中福彩中心、省福彩中心、市民政局交办的其他宣传工作任务；⑤西安福彩宣传片制作方案；⑥短视频大赛活动方案。 二、评审标准量化内容： 各部分内容齐全，均有详细、清晰的阐述且符合本项目招标内容及实际需求得3分，满分18分。每缺一项内容扣3分，评审内容有瑕疵的，每存在一处瑕疵扣0.5分，扣完为止。 评审内容“瑕疵”是指：内容粗略、逻辑混乱、内容表述前后不一致、套用其他项目方案、与项目特点不匹配、出现常识性错误、存在不适用项目实际情况或其他不利于项目实施等任意一种情形。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重难点分析及对策</w:t>
            </w:r>
          </w:p>
        </w:tc>
        <w:tc>
          <w:tcPr>
            <w:tcW w:type="dxa" w:w="2492"/>
          </w:tcPr>
          <w:p>
            <w:pPr>
              <w:pStyle w:val="null3"/>
            </w:pPr>
            <w:r>
              <w:rPr>
                <w:rFonts w:ascii="仿宋_GB2312" w:hAnsi="仿宋_GB2312" w:cs="仿宋_GB2312" w:eastAsia="仿宋_GB2312"/>
              </w:rPr>
              <w:t>一、评审标准细化内容： 供应商针对本项目提供重难点分析及对策，具体内容如下：①项目执行过程中的重点；②项目执行过程中的难点；③重难点问题的解决对策。 二、评审标准量化内容： 各部分内容齐全，均有详细、清晰的阐述且符合本项目招标内容及实际需求得5分，满分15分。每缺一项内容扣5分，评审内容有瑕疵的，每存在一处瑕疵扣0.5分，扣完为止。 评审内容“瑕疵”是指：内容粗略、逻辑混乱、内容表述前后不一致、套用其他项目方案、与项目特点不匹配、出现常识性错误、存在不适用项目实际情况或其他不利于项目实施等任意一种情形。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人员配备方案（人员持证情况）</w:t>
            </w:r>
          </w:p>
        </w:tc>
        <w:tc>
          <w:tcPr>
            <w:tcW w:type="dxa" w:w="2492"/>
          </w:tcPr>
          <w:p>
            <w:pPr>
              <w:pStyle w:val="null3"/>
            </w:pPr>
            <w:r>
              <w:rPr>
                <w:rFonts w:ascii="仿宋_GB2312" w:hAnsi="仿宋_GB2312" w:cs="仿宋_GB2312" w:eastAsia="仿宋_GB2312"/>
              </w:rPr>
              <w:t>一、评审标准细化内容： 供应商针对本项目配备专项服务团队，服务团队人员具有全媒体运营师职业技能等级证书或广电总局人才交流中心培训合格证书情况。 二、评审标准量化内容： 每有1个持证人员，得2.5分，满分5分。 备注：提供人员证书扫描件（复印件）及在OSTA技能人才评价证书全国联网查询系统或国家广播电视总局广播影视人才交流中心官网核验截图。未提供或证明材料不符合要求的均不得分。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人员配备方案（团队人员工作经验）</w:t>
            </w:r>
          </w:p>
        </w:tc>
        <w:tc>
          <w:tcPr>
            <w:tcW w:type="dxa" w:w="2492"/>
          </w:tcPr>
          <w:p>
            <w:pPr>
              <w:pStyle w:val="null3"/>
            </w:pPr>
            <w:r>
              <w:rPr>
                <w:rFonts w:ascii="仿宋_GB2312" w:hAnsi="仿宋_GB2312" w:cs="仿宋_GB2312" w:eastAsia="仿宋_GB2312"/>
              </w:rPr>
              <w:t>一、评审标准细化内容： 供应商针对本项目配备专项服务团队（包括：项目负责人、驻场人员、摄影摄像、文稿采编、图片制作、海报设计、视频剪辑、AI技术运用、新媒体运营培训人员等，可兼任。），团队人员具有类似工作经历或作品或成绩。 二、评审标准量化内容： 提供本项目拟投入人员汇总表，其中“拟担任的职务”需明确至少包括：项目负责人、驻场人员、摄影摄像、文稿采编、图片制作、海报设计、视频剪辑、AI技术运用、新媒体运营培训人员，人员可兼任，如未明确或缺少某一职务，本项不得分。 在此基础上，提供团队人员2023年1月1日至今类似工作经历或作品的经验证明材料（如类似项目合同或第三方载体上的作品等证明材料），经验证明材料上须体现对应人员信息，每人提供1份有效经验证明材料即可。每提供1个人员符合要求的工作经验证明材料及有效身份证，得2分，满分10分；未提供或提供材料不符合要求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设备配备方案</w:t>
            </w:r>
          </w:p>
        </w:tc>
        <w:tc>
          <w:tcPr>
            <w:tcW w:type="dxa" w:w="2492"/>
          </w:tcPr>
          <w:p>
            <w:pPr>
              <w:pStyle w:val="null3"/>
            </w:pPr>
            <w:r>
              <w:rPr>
                <w:rFonts w:ascii="仿宋_GB2312" w:hAnsi="仿宋_GB2312" w:cs="仿宋_GB2312" w:eastAsia="仿宋_GB2312"/>
              </w:rPr>
              <w:t>一、评审标准细化内容： 供应商针对本项目提供设备配备清单，拟配设备中至少包括：（1）1台4K拍摄设备；（2）配套镜头（至少包含广角镜头和标准定焦镜头）；（3）专业补光设备（柔光灯/平板补光灯）；（4）辅助支撑设备（三脚架+稳定器）。 二、评审标准量化内容： 每提供一项符合要求的设备，得3分，满分12分。备注：各设备须同时提供照片、购置发票/租赁协议，未提供或提供的资料不符合要求均不得分。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一、评审标准细化内容： 供应商针对本项目提供以下相关情况的应急预案，内容包含但不限于：①人员因故缺位；②平台故障；③宣传材料审核未通过；④出现大量负面信息；⑤紧急工作任务。 二、评审标准量化内容： 各部分内容齐全，均有详细、清晰的阐述且符合本项目招标内容及实际需求得1分，满分5分。每缺一项内容扣1分，评审内容有瑕疵的，每存在一处瑕疵扣0.5分，扣完为止。 评审内容“瑕疵”是指：内容粗略、逻辑混乱、内容表述前后不一致、套用其他项目方案、与项目特点不匹配、出现常识性错误、存在不适用项目实际情况或其他不利于项目实施等任意一种情形。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供应商具有2023年1月1日至今（以合同签订时间为准）类似项目（新媒体运营宣传推广类）业绩，每提供1个有效业绩得4分，最多得20分。 备注：评审时以供应商业绩合同扫描件（复印件）为依据，合同至少需包含合同首页、服务内容页、签章页。未提供或提供内容符合要求的均不得分。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 财库〔2020〕46号文件的规定，采用低价优先法计算，以本次满足磋商文件要求的最终最低评审价为磋商基准价，其磋商报价为满分。其他供应商的价格分，统一按照下列公式计算：磋商评审价=磋商最后报价， 磋商报价得分=(磋商基准价／磋商评审价)×15 。</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详见附件：供应商基本情况表.docx</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