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版本号：ZYX-2026-01120260910003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洋县引汉济渭防护工程2025-2026年度维修养护项目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ZYX-2026-011</w:t>
      </w:r>
      <w:r>
        <w:br/>
      </w:r>
      <w:r>
        <w:br/>
      </w:r>
      <w:r>
        <w:br/>
      </w:r>
    </w:p>
    <w:p>
      <w:pPr>
        <w:pStyle w:val="null3"/>
        <w:jc w:val="center"/>
        <w:outlineLvl w:val="2"/>
      </w:pPr>
      <w:r>
        <w:rPr>
          <w:rFonts w:ascii="仿宋_GB2312" w:hAnsi="仿宋_GB2312" w:cs="仿宋_GB2312" w:eastAsia="仿宋_GB2312"/>
          <w:sz w:val="28"/>
          <w:b/>
        </w:rPr>
        <w:t>洋县水利局</w:t>
      </w:r>
    </w:p>
    <w:p>
      <w:pPr>
        <w:pStyle w:val="null3"/>
        <w:jc w:val="center"/>
        <w:outlineLvl w:val="2"/>
      </w:pPr>
      <w:r>
        <w:rPr>
          <w:rFonts w:ascii="仿宋_GB2312" w:hAnsi="仿宋_GB2312" w:cs="仿宋_GB2312" w:eastAsia="仿宋_GB2312"/>
          <w:sz w:val="28"/>
          <w:b/>
        </w:rPr>
        <w:t>中禹鑫工程项目管理有限公司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中禹鑫工程项目管理有限公司</w:t>
      </w:r>
      <w:r>
        <w:rPr>
          <w:rFonts w:ascii="仿宋_GB2312" w:hAnsi="仿宋_GB2312" w:cs="仿宋_GB2312" w:eastAsia="仿宋_GB2312"/>
        </w:rPr>
        <w:t>（以下简称“代理机构”）受</w:t>
      </w:r>
      <w:r>
        <w:rPr>
          <w:rFonts w:ascii="仿宋_GB2312" w:hAnsi="仿宋_GB2312" w:cs="仿宋_GB2312" w:eastAsia="仿宋_GB2312"/>
        </w:rPr>
        <w:t>洋县水利局</w:t>
      </w:r>
      <w:r>
        <w:rPr>
          <w:rFonts w:ascii="仿宋_GB2312" w:hAnsi="仿宋_GB2312" w:cs="仿宋_GB2312" w:eastAsia="仿宋_GB2312"/>
        </w:rPr>
        <w:t>委托，拟对</w:t>
      </w:r>
      <w:r>
        <w:rPr>
          <w:rFonts w:ascii="仿宋_GB2312" w:hAnsi="仿宋_GB2312" w:cs="仿宋_GB2312" w:eastAsia="仿宋_GB2312"/>
        </w:rPr>
        <w:t>洋县引汉济渭防护工程2025-2026年度维修养护项目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ZYX-2026-011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洋县引汉济渭防护工程2025-2026年度维修养护项目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堤防工程、泵站、涵闸及其配套附属工程维修养护、新建排水沟等；详见采购文件。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采购包1（洋县引汉济渭防护工程2025-2026年度维修养护项目）：属于专门面向中小企业采购。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3、企业资质要求：供应商须具备建设行政主管部门核发的水利水电工程施工总承包三级（含三级）及以上资质，具有有效的安全生产许可证；</w:t>
      </w:r>
    </w:p>
    <w:p>
      <w:pPr>
        <w:pStyle w:val="null3"/>
      </w:pPr>
      <w:r>
        <w:rPr>
          <w:rFonts w:ascii="仿宋_GB2312" w:hAnsi="仿宋_GB2312" w:cs="仿宋_GB2312" w:eastAsia="仿宋_GB2312"/>
        </w:rPr>
        <w:t>4、项目经理资格要求：项目经理须具备水利水电工程专业二级（含二级）及以上注册建造师执业资格、具有水行政主管部门核发的有效安全生产考核合格证书（B证），且需提供无在建工程承诺函；</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洋州中路1号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17609103827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中禹鑫工程项目管理有限公司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福建省宁德市蕉城区宁德市东侨经济开发区闽东中路32号宁德联信.财富广场B-2幢702</w:t>
      </w:r>
    </w:p>
    <w:p>
      <w:pPr>
        <w:pStyle w:val="null3"/>
      </w:pPr>
      <w:r>
        <w:rPr>
          <w:rFonts w:ascii="仿宋_GB2312" w:hAnsi="仿宋_GB2312" w:cs="仿宋_GB2312" w:eastAsia="仿宋_GB2312"/>
        </w:rPr>
        <w:t xml:space="preserve"> 邮编： </w:t>
      </w:r>
      <w:r>
        <w:rPr>
          <w:rFonts w:ascii="仿宋_GB2312" w:hAnsi="仿宋_GB2312" w:cs="仿宋_GB2312" w:eastAsia="仿宋_GB2312"/>
        </w:rPr>
        <w:t>352100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17392314555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采购包1：779,400.00元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开户名称：中禹鑫工程项目管理有限公司</w:t>
            </w:r>
          </w:p>
          <w:p>
            <w:pPr>
              <w:pStyle w:val="null3"/>
            </w:pPr>
            <w:r>
              <w:rPr>
                <w:rFonts w:ascii="仿宋_GB2312" w:hAnsi="仿宋_GB2312" w:cs="仿宋_GB2312" w:eastAsia="仿宋_GB2312"/>
              </w:rPr>
              <w:t>开户银行：兴业银行宁德分行营业部</w:t>
            </w:r>
          </w:p>
          <w:p>
            <w:pPr>
              <w:pStyle w:val="null3"/>
            </w:pPr>
            <w:r>
              <w:rPr>
                <w:rFonts w:ascii="仿宋_GB2312" w:hAnsi="仿宋_GB2312" w:cs="仿宋_GB2312" w:eastAsia="仿宋_GB2312"/>
              </w:rPr>
              <w:t>银行账号：131010100100288337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 改革委办公厅关于招标代理服务收费有关问题的通知》(发改办价格[2003]857号)和《国家发展改革委关于降低 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洋县水利局</w:t>
      </w:r>
      <w:r>
        <w:rPr>
          <w:rFonts w:ascii="仿宋_GB2312" w:hAnsi="仿宋_GB2312" w:cs="仿宋_GB2312" w:eastAsia="仿宋_GB2312"/>
        </w:rPr>
        <w:t>和</w:t>
      </w:r>
      <w:r>
        <w:rPr>
          <w:rFonts w:ascii="仿宋_GB2312" w:hAnsi="仿宋_GB2312" w:cs="仿宋_GB2312" w:eastAsia="仿宋_GB2312"/>
        </w:rPr>
        <w:t>中禹鑫工程项目管理有限公司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中禹鑫工程项目管理有限公司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中禹鑫工程项目管理有限公司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按照国家水利行业相关验收规范标准进行验收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中禹鑫工程项目管理有限公司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中禹鑫工程项目管理有限公司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中禹鑫工程项目管理有限公司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联系电话：17392314555</w:t>
      </w:r>
    </w:p>
    <w:p>
      <w:pPr>
        <w:pStyle w:val="null3"/>
      </w:pPr>
      <w:r>
        <w:rPr>
          <w:rFonts w:ascii="仿宋_GB2312" w:hAnsi="仿宋_GB2312" w:cs="仿宋_GB2312" w:eastAsia="仿宋_GB2312"/>
        </w:rPr>
        <w:t>地址：陕西省汉中市洋县北环西路60号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779,400.00</w:t>
      </w:r>
    </w:p>
    <w:p>
      <w:pPr>
        <w:pStyle w:val="null3"/>
      </w:pPr>
      <w:r>
        <w:rPr>
          <w:rFonts w:ascii="仿宋_GB2312" w:hAnsi="仿宋_GB2312" w:cs="仿宋_GB2312" w:eastAsia="仿宋_GB2312"/>
        </w:rPr>
        <w:t>采购包最高限价（元）: 727,260.06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洋县引汉济渭防护工程2025-2026年度维修养护项目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779,400.00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标的名称：洋县引汉济渭防护工程2025-2026年度维修养护项目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8"/>
              </w:rPr>
              <w:t>1、施工范围：堤防工程、泵站、涵闸及其配套附属工程维修养护、新建排水沟等；及工程量清单所有内容。（具体以工程量清单为准）。</w:t>
            </w:r>
          </w:p>
          <w:p>
            <w:pPr>
              <w:pStyle w:val="null3"/>
              <w:ind w:firstLine="560"/>
              <w:jc w:val="left"/>
            </w:pPr>
            <w:r>
              <w:rPr>
                <w:rFonts w:ascii="仿宋_GB2312" w:hAnsi="仿宋_GB2312" w:cs="仿宋_GB2312" w:eastAsia="仿宋_GB2312"/>
                <w:sz w:val="28"/>
              </w:rPr>
              <w:t>2、工期：90日历天</w:t>
            </w:r>
          </w:p>
          <w:p>
            <w:pPr>
              <w:pStyle w:val="null3"/>
              <w:ind w:firstLine="560"/>
              <w:jc w:val="left"/>
            </w:pPr>
            <w:r>
              <w:rPr>
                <w:rFonts w:ascii="仿宋_GB2312" w:hAnsi="仿宋_GB2312" w:cs="仿宋_GB2312" w:eastAsia="仿宋_GB2312"/>
                <w:sz w:val="28"/>
              </w:rPr>
              <w:t>3、质量标准：达到国家、水利行业现行施工及验收规范合格标准，一次性验收合格。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符合国家现行有关规范“合格”要求，项目质保期为执行《中华人民共和国建筑工程质量管理条例》有关规定。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按合约约定执行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技术方案.docx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供应商须具备建设行政主管部门核发的水利水电工程施工总承包三级（含三级）及以上资质，具有有效的安全生产许可证；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项目经理须具备水利水电工程专业二级（含二级）及以上注册建造师执业资格、具有水行政主管部门核发的有效安全生产考核合格证书（B证），且需提供无在建工程承诺函；</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 期</w:t>
            </w:r>
          </w:p>
        </w:tc>
        <w:tc>
          <w:tcPr>
            <w:tcW w:type="dxa" w:w="3322"/>
          </w:tcPr>
          <w:p>
            <w:pPr>
              <w:pStyle w:val="null3"/>
            </w:pPr>
            <w:r>
              <w:rPr>
                <w:rFonts w:ascii="仿宋_GB2312" w:hAnsi="仿宋_GB2312" w:cs="仿宋_GB2312" w:eastAsia="仿宋_GB2312"/>
              </w:rPr>
              <w:t>应满足竞争性磋商文件中要求的工期 。</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企业同类工程业绩</w:t>
            </w:r>
          </w:p>
        </w:tc>
        <w:tc>
          <w:tcPr>
            <w:tcW w:type="dxa" w:w="2492"/>
          </w:tcPr>
          <w:p>
            <w:pPr>
              <w:pStyle w:val="null3"/>
            </w:pPr>
            <w:r>
              <w:rPr>
                <w:rFonts w:ascii="仿宋_GB2312" w:hAnsi="仿宋_GB2312" w:cs="仿宋_GB2312" w:eastAsia="仿宋_GB2312"/>
              </w:rPr>
              <w:t>供应商近3年内（自采购公告发布之日倒算）承接过水利堤防、泵站、涵闸、河道治理同类工程业绩，单份业绩合同规模不低于本项目80%的，每提供1份有效业绩得2分；不足本项目80%规模的每份得1分；满分4分（最多计4分）。佐证要求：须提供清晰合同复印件（加盖公章）/清晰成交（中标）通知书复印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1、完整标注材料堆场、加工区、办公生活区、施工通道、临时水电布设、排水排污设施6项核心要素，得2分；2、仅标注4-5项核心要素，得1分；3、标注3项及以下或未提供布置图，得0分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项目部人员配备</w:t>
            </w:r>
          </w:p>
        </w:tc>
        <w:tc>
          <w:tcPr>
            <w:tcW w:type="dxa" w:w="2492"/>
          </w:tcPr>
          <w:p>
            <w:pPr>
              <w:pStyle w:val="null3"/>
            </w:pPr>
            <w:r>
              <w:rPr>
                <w:rFonts w:ascii="仿宋_GB2312" w:hAnsi="仿宋_GB2312" w:cs="仿宋_GB2312" w:eastAsia="仿宋_GB2312"/>
              </w:rPr>
              <w:t>1、项目经理评分（4分）：①职称：具备工程类高级职称得2分，中级职称得1分，中级以下0分（以有效职称证书加盖公章为准）；②业绩：2023年1月1日至今担任项目经理的同类水利工程业绩，每1份有效业绩得2分，最多2分（业绩合同/中标（成交）通知书上项目经理信息清晰可查，可与企业业绩重复计分）。注：需提供供应商及项目经理在全国水利建设市场信用信息平台https://rcpu.cweun.org/无不良记录（截图清晰可见加盖公章，未提供此项不得分）。 2、技术负责人（2分）①职称：具备水利水电工程类中级职称得1分，中级以下0分（以有效职称证书加盖公章为准）；②业绩：2023年1月1日至今担任项目经理的同类水利工程业绩，每1份有效业绩得1分，最多1分（业绩合同中技术负责人信息清晰可查，可与企业业绩重复计分）。 3、关键岗位人员持证（6分）：配齐施工员、安全员、质量员、资料员、材料员等多个岗位，每岗人员证书有效、在有效期内、无重复任职、岗位齐全，每合格1人得1分，满分6分；证件过期、无效、人员重复、岗位缺失均单岗不计分。 4、在岗履职承诺（2分）：提供完整书面承诺书，明确全员全程在岗、常驻现场、未经建设及监理单位书面同意不脱岗、离岗、更换人员，条款全覆盖得2分；未提供、条款缺失、内容不符得0分。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1、项目总体概况：完整覆盖本项目堤防、泵站、涵闸、排水沟全部施工内容、工期、质量、现场特点，表述精准完整得2分；内容简略、缺项得1分；严重缺失得0分。 2、施工方法（工艺）：针对本项目水利堤防浇筑、泵站安装、涵闸施工、排水沟开挖等核心工序，工艺贴合行业规范、适配项目工况得2分；工艺通用无针对性得1分；工艺错误、缺失得0分。 3、施工次序：分项工程施工顺序科学合理，贴合项目工期并行施工要求，逻辑清晰得2分；顺序基本合理得1分；次序混乱、不符合施工逻辑得0分。 4、施工准备：技术、材料、机械、劳动力四项准备全覆盖，贴合项目工程量配置得2分；缺1项得1分；缺2项及以上得0分。 5、工程重难点及对策：精准识别堤防长线施工、多构筑物同步施工、短工期赶工等重难点，对应措施具体可落地得2分；识别不全、措施笼统得1分；无重难点分析及对策得0分。 注：未提供方案本项0分。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进度计划及工期保障措施</w:t>
            </w:r>
          </w:p>
        </w:tc>
        <w:tc>
          <w:tcPr>
            <w:tcW w:type="dxa" w:w="2492"/>
          </w:tcPr>
          <w:p>
            <w:pPr>
              <w:pStyle w:val="null3"/>
            </w:pPr>
            <w:r>
              <w:rPr>
                <w:rFonts w:ascii="仿宋_GB2312" w:hAnsi="仿宋_GB2312" w:cs="仿宋_GB2312" w:eastAsia="仿宋_GB2312"/>
              </w:rPr>
              <w:t>1、工期节点规划：完整明确整体工期、各分项工程（堤防、泵站、涵闸、排水沟）节点工期、关键控制节点，贴合项目工期要求得2分；节点不全得1分；无分项节点得0分。2、施工进度图表：提供规范完整的进度网络图/横道图，节点清晰、工期匹配得2分；图表简略、信息不全得1分；未提供图表得0分。3、常规进度保障措施：人员、机械、材料、管理制度、进度管控措施齐全具体，适配多工序并行施工得3分；措施基本齐全得1.5分；措施缺失、笼统得0分。4、特殊工况赶工措施：覆盖雨天施工、交叉施工、设备故障、材料延误等特殊情况，赶工方案可落地得3分；措施简单笼统得1.5分；无专项赶工措施得0分。注：未提供方案本项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质量管理流程：建立完整的班组、项目部、监理报验三级管控流程，权责清晰得2分；流程基本完整得1分；流程缺失混乱得0分。2、质量保证方案：覆盖堤防、泵站、涵闸、排水沟所有分项工程，贴合水利工程验收标准得2分；覆盖不全得1分；无专项方案得0分。3、质量控制体系：健全的人员岗位职责、质量管控制度、抽检检测体系得2分；体系不完善得1分；体系缺失得0分。4、分阶段质量管控：施工准备、过程施工、竣工验收全阶段管控措施具体落地得2分；阶段措施不全得1分；无分阶段管控措施得0分。注：未提供方案本项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1、安全生产管理制度：配齐岗位安全职责、隐患排查、班前教育、安全考核制度，贴合水利施工现场得2分；制度基本齐全得1分；制度缺失得0分。2、专项安全措施：针对基坑开挖、临边防护、机械作业、临水施工、用电安全等本项目核心风险点制定专项措施得2分；措施笼统通用得1分；无专项措施得0分。3、安全应急预案：覆盖坍塌、溺水、机械伤害、触电等常见事故，包含应急组织、处置流程、物资、演练计划得2分；预案内容简略得1分；无应急预案得0分。注：未提供方案本项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1、文明施工措施：包含现场围挡、场地硬化、物料堆放、扬尘管控、施工秩序、生活区管理等完整措施，贴合现场工况得3分；措施基本齐全得1.5分；措施缺失较多得0分。2、环保管控措施：覆盖施工废水、扬尘、固废、噪音、水土保持等水利工程环保重点，措施可落地得3分；措施基本齐全得1.5分；无专项环保措施得0分。注：未提供方案本项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1、劳动力配置：结合短工期、多工序并行特点，明确各阶段工种、人数、进场时间、排班计划，配置充足合理得3分；配置基本满足需求得1.5分；配置不足、无阶段性计划得0分。2、机械设备及材料配置：匹配堤防、泵站、涵闸施工需求，明确设备型号、数量、进场周期、维保计划，主材采购、储备、供应计划齐全得3分；配置基本齐全得1.5分；设备、材料配置缺失或不足得0分。注：未提供方案本项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1、分项保修措施及责任：全覆盖堤防、泵站、涵闸、排水沟工程，明确各分项保修范围、维修标准、责任分工得2分；覆盖不全、责任模糊得1分；无分项保修措施得0分。2、售后保修承诺：明确保修期限、24小时响应、故障处置时效、回访机制、免费维修承诺得2分；承诺条款不全得1分；无专项售后承诺得0分。注：未提供方案本项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采用低价优先法计算，满足磋商文件全部实质性要求且有效最低磋商报价为磋商基准价。价格得分=（磋商基准价/供应商最终磋商报价）×30×100%。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