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版本号：XBCG-LH-2026-6920260604001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2026年法律服务项目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XBCG-LH-2026-69</w:t>
      </w:r>
      <w:r>
        <w:br/>
      </w:r>
      <w:r>
        <w:br/>
      </w:r>
      <w:r>
        <w:br/>
      </w:r>
    </w:p>
    <w:p>
      <w:pPr>
        <w:pStyle w:val="null3"/>
        <w:jc w:val="center"/>
        <w:outlineLvl w:val="2"/>
      </w:pPr>
      <w:r>
        <w:rPr>
          <w:rFonts w:ascii="仿宋_GB2312" w:hAnsi="仿宋_GB2312" w:cs="仿宋_GB2312" w:eastAsia="仿宋_GB2312"/>
          <w:sz w:val="28"/>
          <w:b/>
        </w:rPr>
        <w:t>西安曲江新区管理委员会</w:t>
      </w:r>
    </w:p>
    <w:p>
      <w:pPr>
        <w:pStyle w:val="null3"/>
        <w:jc w:val="center"/>
        <w:outlineLvl w:val="2"/>
      </w:pPr>
      <w:r>
        <w:rPr>
          <w:rFonts w:ascii="仿宋_GB2312" w:hAnsi="仿宋_GB2312" w:cs="仿宋_GB2312" w:eastAsia="仿宋_GB2312"/>
          <w:sz w:val="28"/>
          <w:b/>
        </w:rPr>
        <w:t>西北国际（陕西）造价管理集团有限公司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西北国际（陕西）造价管理集团有限公司</w:t>
      </w:r>
      <w:r>
        <w:rPr>
          <w:rFonts w:ascii="仿宋_GB2312" w:hAnsi="仿宋_GB2312" w:cs="仿宋_GB2312" w:eastAsia="仿宋_GB2312"/>
        </w:rPr>
        <w:t>（以下简称“代理机构”）受</w:t>
      </w:r>
      <w:r>
        <w:rPr>
          <w:rFonts w:ascii="仿宋_GB2312" w:hAnsi="仿宋_GB2312" w:cs="仿宋_GB2312" w:eastAsia="仿宋_GB2312"/>
        </w:rPr>
        <w:t>西安曲江新区管理委员会</w:t>
      </w:r>
      <w:r>
        <w:rPr>
          <w:rFonts w:ascii="仿宋_GB2312" w:hAnsi="仿宋_GB2312" w:cs="仿宋_GB2312" w:eastAsia="仿宋_GB2312"/>
        </w:rPr>
        <w:t>委托，拟对</w:t>
      </w:r>
      <w:r>
        <w:rPr>
          <w:rFonts w:ascii="仿宋_GB2312" w:hAnsi="仿宋_GB2312" w:cs="仿宋_GB2312" w:eastAsia="仿宋_GB2312"/>
        </w:rPr>
        <w:t>2026年法律服务项目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XBCG-LH-2026-69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2026年法律服务项目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法律服务需求主要包括：1.参与重大决策。法律顾问团队全程参与我委党政联席会议、各局办重大项目会议、政策文件制定等决策会议，在决策事项是否符合我委的法定职权、是否符合法律、法规、规章和相关政策的规定，是否履行了相关法定程序及存在的其他法律风险发表意见、出具法律意见书。2.服务社会治理。在信访接待方面，为提升公共法律服务水平，引导群众依法办事，法律顾问团队参与信访接待、信访案件处理等工作。在劳动仲裁方面，法律顾问积极配合协助西安市劳动人事争议仲裁委员会曲江派出庭开展劳动仲裁工作，审核裁决书，提出建议和意见，确保曲江派出庭办案工作符合法律程序及规范化要求。3.强化依法行政。在制度建设方面，为强化我区依法行政能力和水平，法律顾问参与制定并完善相关制度。在信息公开方面，为提高我区信息公开特别是依申请公开工作的法治化、规范化水平，法律顾问全程参与信息公开工作，重点就信息公开的主体、范围、形式、内容等进行专业分析研判，提供咨询意见和改进建议。在规范行政执法方面，我区为严格落实行政执法三项制度，充分发挥法律顾问在法制审核工作中的作用，积极组织法律顾问参与我区行政执法部门的法制审核，在重大执法决定作出前，就相关事项咨询法律顾问意见，确保依法执法，实现法律服务全覆盖。4.做好日常法律服务。在我区招商引资、项目建设、区域合作等领域全面负责提供咨询、审查修订合同等法律文件。同时，配合做好我区机关干部特别是行政执法人员的法治宣传、法律知识培训，并提供法律咨询和业务指导，指派专人协助开展新区依法治区各项工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书及授权代表本单位证明：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在开标日期前六个月内任意三个月的社保缴纳证明（须赋可查询的验证编号或验证二维码）</w:t>
      </w:r>
    </w:p>
    <w:p>
      <w:pPr>
        <w:pStyle w:val="null3"/>
      </w:pPr>
      <w:r>
        <w:rPr>
          <w:rFonts w:ascii="仿宋_GB2312" w:hAnsi="仿宋_GB2312" w:cs="仿宋_GB2312" w:eastAsia="仿宋_GB2312"/>
        </w:rPr>
        <w:t>2、证书：供应商具有司法行政管理部门核发并经年审合格的《律师事务所执业许可证》</w:t>
      </w:r>
    </w:p>
    <w:p>
      <w:pPr>
        <w:pStyle w:val="null3"/>
      </w:pPr>
      <w:r>
        <w:rPr>
          <w:rFonts w:ascii="仿宋_GB2312" w:hAnsi="仿宋_GB2312" w:cs="仿宋_GB2312" w:eastAsia="仿宋_GB2312"/>
        </w:rPr>
        <w:t>3、信用记录：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p>
      <w:pPr>
        <w:pStyle w:val="null3"/>
      </w:pPr>
      <w:r>
        <w:rPr>
          <w:rFonts w:ascii="仿宋_GB2312" w:hAnsi="仿宋_GB2312" w:cs="仿宋_GB2312" w:eastAsia="仿宋_GB2312"/>
        </w:rPr>
        <w:t>4、控股关系说明：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p>
      <w:pPr>
        <w:pStyle w:val="null3"/>
      </w:pPr>
      <w:r>
        <w:rPr>
          <w:rFonts w:ascii="仿宋_GB2312" w:hAnsi="仿宋_GB2312" w:cs="仿宋_GB2312" w:eastAsia="仿宋_GB2312"/>
        </w:rPr>
        <w:t>5、联合体：本项目不接受联合体磋商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西安曲江新区管理委员会</w:t>
      </w:r>
    </w:p>
    <w:p>
      <w:pPr>
        <w:pStyle w:val="null3"/>
      </w:pPr>
      <w:r>
        <w:rPr>
          <w:rFonts w:ascii="仿宋_GB2312" w:hAnsi="仿宋_GB2312" w:cs="仿宋_GB2312" w:eastAsia="仿宋_GB2312"/>
        </w:rPr>
        <w:t xml:space="preserve"> 地址： </w:t>
      </w:r>
      <w:r>
        <w:rPr>
          <w:rFonts w:ascii="仿宋_GB2312" w:hAnsi="仿宋_GB2312" w:cs="仿宋_GB2312" w:eastAsia="仿宋_GB2312"/>
        </w:rPr>
        <w:t>杜陵邑南路6号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西安曲江新区管理委员会经办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68660241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西北国际（陕西）造价管理集团有限公司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陕西省西安市碑林区陕西省西安市碑林区长安国际中心F座办公楼17楼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张续</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17778960875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西安曲江新区政府采购管理股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寇雪莲</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68660321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人后3日内，由成交供应商按国家计委颁发的《招标代理服务收费管理暂行办法》（计价格[2002]1980号）和国家和发展改革委员会办公厅颁发的《关于招标代理服务收费有关问题的通知》（发改办价格[2003] 857号）的有关规定标准，向采购代理机构一次付清代理服务费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西安曲江新区管理委员会</w:t>
      </w:r>
      <w:r>
        <w:rPr>
          <w:rFonts w:ascii="仿宋_GB2312" w:hAnsi="仿宋_GB2312" w:cs="仿宋_GB2312" w:eastAsia="仿宋_GB2312"/>
        </w:rPr>
        <w:t>和</w:t>
      </w:r>
      <w:r>
        <w:rPr>
          <w:rFonts w:ascii="仿宋_GB2312" w:hAnsi="仿宋_GB2312" w:cs="仿宋_GB2312" w:eastAsia="仿宋_GB2312"/>
        </w:rPr>
        <w:t>西北国际（陕西）造价管理集团有限公司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西安曲江新区管理委员会</w:t>
      </w:r>
      <w:r>
        <w:rPr>
          <w:rFonts w:ascii="仿宋_GB2312" w:hAnsi="仿宋_GB2312" w:cs="仿宋_GB2312" w:eastAsia="仿宋_GB2312"/>
        </w:rPr>
        <w:t>负责解释。除上述磋商文件内容，其他内容由</w:t>
      </w:r>
      <w:r>
        <w:rPr>
          <w:rFonts w:ascii="仿宋_GB2312" w:hAnsi="仿宋_GB2312" w:cs="仿宋_GB2312" w:eastAsia="仿宋_GB2312"/>
        </w:rPr>
        <w:t>西北国际（陕西）造价管理集团有限公司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西安曲江新区管理委员会</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西北国际（陕西）造价管理集团有限公司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国内相应的标准、规范</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西北国际（陕西）造价管理集团有限公司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联系人：张续</w:t>
      </w:r>
    </w:p>
    <w:p>
      <w:pPr>
        <w:pStyle w:val="null3"/>
      </w:pPr>
      <w:r>
        <w:rPr>
          <w:rFonts w:ascii="仿宋_GB2312" w:hAnsi="仿宋_GB2312" w:cs="仿宋_GB2312" w:eastAsia="仿宋_GB2312"/>
        </w:rPr>
        <w:t>联系电话：17778960875</w:t>
      </w:r>
    </w:p>
    <w:p>
      <w:pPr>
        <w:pStyle w:val="null3"/>
      </w:pPr>
      <w:r>
        <w:rPr>
          <w:rFonts w:ascii="仿宋_GB2312" w:hAnsi="仿宋_GB2312" w:cs="仿宋_GB2312" w:eastAsia="仿宋_GB2312"/>
        </w:rPr>
        <w:t>地址：陕西省西安市碑林区长安国际中心F座办公楼17楼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法律服务需求主要包括：1.参与重大决策。法律顾问团队全程参与我委党政联席会议、各局办重大项目会议、政策文件制定等决策会议，在决策事项是否符合我委的法定职权、是否符合法律、法规、规章和相关政策的规定，是否履行了相关法定程序及存在的其他法律风险发表意见、出具法律意见书。2.服务社会治理。在信访接待方面，为提升公共法律服务水平，引导群众依法办事，法律顾问团队参与信访接待、信访案件处理等工作。在劳动仲裁方面，法律顾问积极配合协助西安市劳动人事争议仲裁委员会曲江派出庭开展劳动仲裁工作，审核裁决书，提出建议和意见，确保曲江派出庭办案工作符合法律程序及规范化要求。3.强化依法行政。在制度建设方面，为强化我区依法行政能力和水平，法律顾问参与制定并完善相关制度。在信息公开方面，为提高我区信息公开特别是依申请公开工作的法治化、规范化水平，法律顾问全程参与信息公开工作，重点就信息公开的主体、范围、形式、内容等进行专业分析研判，提供咨询意见和改进建议。在规范行政执法方面，我区为严格落实行政执法三项制度，充分发挥法律顾问在法制审核工作中的作用，积极组织法律顾问参与我区行政执法部门的法制审核，在重大执法决定作出前，就相关事项咨询法律顾问意见，确保依法执法，实现法律服务全覆盖。4.做好日常法律服务。在我区招商引资、项目建设、区域合作等领域全面负责提供咨询、审查修订合同等法律文件。同时，配合做好我区机关干部特别是行政执法人员的法治宣传、法律知识培训，并提供法律咨询和业务指导，指派专人协助开展新区依法治区各项工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500,000.00</w:t>
      </w:r>
    </w:p>
    <w:p>
      <w:pPr>
        <w:pStyle w:val="null3"/>
      </w:pPr>
      <w:r>
        <w:rPr>
          <w:rFonts w:ascii="仿宋_GB2312" w:hAnsi="仿宋_GB2312" w:cs="仿宋_GB2312" w:eastAsia="仿宋_GB2312"/>
        </w:rPr>
        <w:t>采购包最高限价（元）: 500,000.00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2026年法律服务项目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500,000.00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标的名称：2026年法律服务项目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b/>
              </w:rPr>
              <w:t>一、采购项目概况</w:t>
            </w:r>
          </w:p>
          <w:p>
            <w:pPr>
              <w:pStyle w:val="null3"/>
              <w:jc w:val="left"/>
            </w:pPr>
            <w:r>
              <w:rPr>
                <w:rFonts w:ascii="仿宋_GB2312" w:hAnsi="仿宋_GB2312" w:cs="仿宋_GB2312" w:eastAsia="仿宋_GB2312"/>
              </w:rPr>
              <w:t>法律服务需求主要包括：</w:t>
            </w:r>
            <w:r>
              <w:rPr>
                <w:rFonts w:ascii="仿宋_GB2312" w:hAnsi="仿宋_GB2312" w:cs="仿宋_GB2312" w:eastAsia="仿宋_GB2312"/>
                <w:b/>
              </w:rPr>
              <w:t>1.</w:t>
            </w:r>
            <w:r>
              <w:rPr>
                <w:rFonts w:ascii="仿宋_GB2312" w:hAnsi="仿宋_GB2312" w:cs="仿宋_GB2312" w:eastAsia="仿宋_GB2312"/>
                <w:b/>
              </w:rPr>
              <w:t>参与重大决策</w:t>
            </w:r>
            <w:r>
              <w:rPr>
                <w:rFonts w:ascii="仿宋_GB2312" w:hAnsi="仿宋_GB2312" w:cs="仿宋_GB2312" w:eastAsia="仿宋_GB2312"/>
              </w:rPr>
              <w:t>。</w:t>
            </w:r>
            <w:r>
              <w:rPr>
                <w:rFonts w:ascii="仿宋_GB2312" w:hAnsi="仿宋_GB2312" w:cs="仿宋_GB2312" w:eastAsia="仿宋_GB2312"/>
              </w:rPr>
              <w:t>法律顾问团队全程参与我委党政联席会议、各局办重大项目会议、政策文件制定等决策会议，在决策事项是否符合我委的法定职权、是否符合法律、法规、规章和相关政策的规定，是否履行了相关法定程序及存在的其他法律风险发表意见、出具法律意见书。</w:t>
            </w:r>
            <w:r>
              <w:rPr>
                <w:rFonts w:ascii="仿宋_GB2312" w:hAnsi="仿宋_GB2312" w:cs="仿宋_GB2312" w:eastAsia="仿宋_GB2312"/>
                <w:b/>
              </w:rPr>
              <w:t>2.服务社会治理</w:t>
            </w:r>
            <w:r>
              <w:rPr>
                <w:rFonts w:ascii="仿宋_GB2312" w:hAnsi="仿宋_GB2312" w:cs="仿宋_GB2312" w:eastAsia="仿宋_GB2312"/>
              </w:rPr>
              <w:t>。</w:t>
            </w:r>
            <w:r>
              <w:rPr>
                <w:rFonts w:ascii="仿宋_GB2312" w:hAnsi="仿宋_GB2312" w:cs="仿宋_GB2312" w:eastAsia="仿宋_GB2312"/>
              </w:rPr>
              <w:t>在信访接待方面，为提升公共法律服务水平，引导群众依法办事，法律顾问团队参与信访接待、信访案件处理等工作。在劳动仲裁方面，法律顾问积极配合协助西安市劳动人事争议仲裁委员会曲江派出庭开展劳动仲裁工作，审核裁决书，提出建议和意见，确保曲江派出庭办案工作符合法律程序及规范化要求。</w:t>
            </w:r>
            <w:r>
              <w:rPr>
                <w:rFonts w:ascii="仿宋_GB2312" w:hAnsi="仿宋_GB2312" w:cs="仿宋_GB2312" w:eastAsia="仿宋_GB2312"/>
                <w:b/>
              </w:rPr>
              <w:t>3.强化依法行政</w:t>
            </w:r>
            <w:r>
              <w:rPr>
                <w:rFonts w:ascii="仿宋_GB2312" w:hAnsi="仿宋_GB2312" w:cs="仿宋_GB2312" w:eastAsia="仿宋_GB2312"/>
              </w:rPr>
              <w:t>。在制度建设方面，为强化我区依法行政能力和水平，法律顾问参与制定并完善相关制度。在信息公开方面，为提高我区信息公开特别是依申请公开工作的法治化、规范化水平，法律顾问全程参与信息公开工作，重点就信息公开的主体、范围、形式、内容等进行专业分析研判，提供咨询意见和改进建议。在规范行政执法方面，我区为严格落实行政执法三项制度，充分发挥法律顾问在法制审核工作中的作用，积极组织法律顾问参与我区行政执法部门的法制审核，在重大执法决定作出前，就相关事项咨询法律顾问意见，确保依法执法，实现法律服务全覆盖。</w:t>
            </w:r>
            <w:r>
              <w:rPr>
                <w:rFonts w:ascii="仿宋_GB2312" w:hAnsi="仿宋_GB2312" w:cs="仿宋_GB2312" w:eastAsia="仿宋_GB2312"/>
                <w:b/>
              </w:rPr>
              <w:t>4.做好日常法律</w:t>
            </w:r>
            <w:r>
              <w:rPr>
                <w:rFonts w:ascii="仿宋_GB2312" w:hAnsi="仿宋_GB2312" w:cs="仿宋_GB2312" w:eastAsia="仿宋_GB2312"/>
                <w:b/>
              </w:rPr>
              <w:t>服务</w:t>
            </w:r>
            <w:r>
              <w:rPr>
                <w:rFonts w:ascii="仿宋_GB2312" w:hAnsi="仿宋_GB2312" w:cs="仿宋_GB2312" w:eastAsia="仿宋_GB2312"/>
              </w:rPr>
              <w:t>。</w:t>
            </w:r>
            <w:r>
              <w:rPr>
                <w:rFonts w:ascii="仿宋_GB2312" w:hAnsi="仿宋_GB2312" w:cs="仿宋_GB2312" w:eastAsia="仿宋_GB2312"/>
              </w:rPr>
              <w:t>在我区招商引资、项目建设、区域合作等领域全面负责提供咨询、审查修订合同等法律文件。同时，配合做好我区机关干部特别是行政执法人员的法治宣传、法律知识培训，并提供法律咨询和业务指导，指派专人协助开展新区依法治区各项工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left"/>
            </w:pPr>
            <w:r>
              <w:rPr>
                <w:rFonts w:ascii="仿宋_GB2312" w:hAnsi="仿宋_GB2312" w:cs="仿宋_GB2312" w:eastAsia="仿宋_GB2312"/>
                <w:b/>
              </w:rPr>
              <w:t>二、工作要求</w:t>
            </w:r>
          </w:p>
          <w:p>
            <w:pPr>
              <w:pStyle w:val="null3"/>
              <w:jc w:val="left"/>
            </w:pPr>
            <w:r>
              <w:rPr>
                <w:rFonts w:ascii="仿宋_GB2312" w:hAnsi="仿宋_GB2312" w:cs="仿宋_GB2312" w:eastAsia="仿宋_GB2312"/>
              </w:rPr>
              <w:t>1.项目实施小组负责提供法律服务。事务所应在所提供服务律师名录中选择服务方向对口、经验丰富的执业律师、律师助理组成阶梯式的项目服务团队，为单位提供最优服务。</w:t>
            </w:r>
          </w:p>
          <w:p>
            <w:pPr>
              <w:pStyle w:val="null3"/>
              <w:jc w:val="left"/>
            </w:pPr>
            <w:r>
              <w:rPr>
                <w:rFonts w:ascii="仿宋_GB2312" w:hAnsi="仿宋_GB2312" w:cs="仿宋_GB2312" w:eastAsia="仿宋_GB2312"/>
              </w:rPr>
              <w:t>2.律所在人员管理及法律服务方面应实行团队化管理、专业化服务，各团队紧密协作，优势互补，并根据顾问单位的性质、所属行业、业务特点和特殊需求，为顾问单位提供定制式法律服务。</w:t>
            </w:r>
          </w:p>
          <w:p>
            <w:pPr>
              <w:pStyle w:val="null3"/>
              <w:jc w:val="left"/>
            </w:pPr>
            <w:r>
              <w:rPr>
                <w:rFonts w:ascii="仿宋_GB2312" w:hAnsi="仿宋_GB2312" w:cs="仿宋_GB2312" w:eastAsia="仿宋_GB2312"/>
              </w:rPr>
              <w:t>3</w:t>
            </w:r>
            <w:r>
              <w:rPr>
                <w:rFonts w:ascii="仿宋_GB2312" w:hAnsi="仿宋_GB2312" w:cs="仿宋_GB2312" w:eastAsia="仿宋_GB2312"/>
              </w:rPr>
              <w:t>.</w:t>
            </w:r>
            <w:r>
              <w:rPr>
                <w:rFonts w:ascii="仿宋_GB2312" w:hAnsi="仿宋_GB2312" w:cs="仿宋_GB2312" w:eastAsia="仿宋_GB2312"/>
              </w:rPr>
              <w:t>为最大程度的维护单位的利益，防范单位管理风险和市场交易风险，应承诺严格按照本方案中的人员配置为单位提供法律服务。遇到重大法律服务事项，律所将整合全所律师资源为单位提供高效优质法律服务。按照工作计划开展各项工作。</w:t>
            </w:r>
          </w:p>
          <w:p>
            <w:pPr>
              <w:pStyle w:val="null3"/>
              <w:jc w:val="left"/>
            </w:pPr>
            <w:r>
              <w:rPr>
                <w:rFonts w:ascii="仿宋_GB2312" w:hAnsi="仿宋_GB2312" w:cs="仿宋_GB2312" w:eastAsia="仿宋_GB2312"/>
              </w:rPr>
              <w:t>4.为保证服务质量，应组织建立项目领导小组，项目实施小组，为单位法律服务提供有力的组织保证，能根据单位要求或随时指示处理法律事务。在此基础上按照项目管理和服务的科学性、合理性理论，从项目风险控制、项目质量管理以及项目督查管理三方面保证服务质量。</w:t>
            </w:r>
          </w:p>
          <w:p>
            <w:pPr>
              <w:pStyle w:val="null3"/>
            </w:pPr>
            <w:r>
              <w:rPr>
                <w:rFonts w:ascii="仿宋_GB2312" w:hAnsi="仿宋_GB2312" w:cs="仿宋_GB2312" w:eastAsia="仿宋_GB2312"/>
                <w:sz w:val="21"/>
              </w:rPr>
              <w:t>5</w:t>
            </w:r>
            <w:r>
              <w:rPr>
                <w:rFonts w:ascii="仿宋_GB2312" w:hAnsi="仿宋_GB2312" w:cs="仿宋_GB2312" w:eastAsia="仿宋_GB2312"/>
                <w:sz w:val="21"/>
              </w:rPr>
              <w:t>.</w:t>
            </w:r>
            <w:r>
              <w:rPr>
                <w:rFonts w:ascii="仿宋_GB2312" w:hAnsi="仿宋_GB2312" w:cs="仿宋_GB2312" w:eastAsia="仿宋_GB2312"/>
                <w:sz w:val="21"/>
              </w:rPr>
              <w:t>在</w:t>
            </w:r>
            <w:r>
              <w:rPr>
                <w:rFonts w:ascii="仿宋_GB2312" w:hAnsi="仿宋_GB2312" w:cs="仿宋_GB2312" w:eastAsia="仿宋_GB2312"/>
                <w:sz w:val="21"/>
              </w:rPr>
              <w:t>法律服务过程中，律师需根据单位要求按时完成各项法律服务，及时告知单位在管理等行为中存在的法律风险，并提出解决方案或相应的法律措施建议；并对相关问题提出具体的可操作方案和解决途径；对于重要法律文书应由主办律师亲自审核。</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为保证项目质量，供应商应配置足够数量、专业的、经验丰富的法律服务团队完成项目履约。</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供应商自行准备工作所需设施设备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1、验收依据： 1-1、合同文本、合同附件、竞争性磋商文件、竞争性磋商响应文件。 1-2、国内相应的标准、规范。</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根据乙方提交的工作成果，经甲方确认结算金额后一次性支付，达到付款条件起10个工作日内，支付合同总金额的100.0%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2、未尽事宜，双方协商解决。协商不成，由西安仲裁委员会仲裁，仲裁费用由败诉方承担。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（一）各供应商应根据“陕西省财政厅陕财办采函〔2023〕14号文”《陕西省财政厅关于省级预算单位全面推行政府采购 项目电子化交易的通知》“陕西省财政厅陕财办采〔2022〕9号文”《政府采购项目电子化交易规则》等文件的要求，做好人员配备、设施设备、系统操作的相应准备，熟悉并正确实施相关操作流程，承担由于操作或其他因素造成的不利后果。（二） 为顺利推进政府采购电子化交易平台应用工作，供应商需要在线提交所有通过电子化交易平台实施的政府采购项目的响应文件，同时，成交供应商领取成交通知书时，应线下提交纸质版响应文件，正本壹份、副本贰套、电子版壹套（U盘储存）至代理机构。线上电子响应文件与纸质响应文件一致;若正本和副本不符，以正本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同时提供以下材料： 1.提供合格有效的法人或者其他组织的营业执照等证明文件，自然人的身份证明；供应商是法人或其他组织的应提供营业执照等证明文件，供应商是自然人的应提供有效的自然人身份证明。2.提供2024年度或2025年度经审计的已赋码且完整的财务报告（依据财政部、国务院国资委、金融监管总局印发《关于加强审计报告查验工作的通知》(财会(2023〕15号)报告须在注册会计师行业统一监管平台备案并由该平台赋予二维码），包括“四表一注”即《资产负债表》《利润表》《现金流量表》《所有者权益变动表》及其附注、会计师事务所营业执照和2个注册会计师证书（成立时间至提交投标文件截止时间不足一年的可提供成立后任意时段的资产负债表）或财政部门认可的政府采购专业担保机构出具的担保函或在开标日期前六个月内其基本开户银行出具的资信证明（附开户许可证或开户备案证明或基本账户信息）,以上形式的证明资料提供任何一种即可；若审计报告未赋码视为无效；3.提供具有履行合同所必需的设备和专业技术能力的承诺；4.提供磋商截止日前一年内已缴纳的至少一个月的纳税证明或完税证明，依法免税的单位应提供相关证明材料；5.提供磋商截止日前一年内已缴存的至少一个月的社会保障资金缴存单据或社保机构开具的社会保险参保缴费情况证明，依法不需要缴纳社会保障资金的单位应提供相关证明材料；6.参加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授权书及授权代表本单位证明</w:t>
            </w:r>
          </w:p>
        </w:tc>
        <w:tc>
          <w:tcPr>
            <w:tcW w:type="dxa" w:w="3322"/>
          </w:tcPr>
          <w:p>
            <w:pPr>
              <w:pStyle w:val="null3"/>
            </w:pPr>
            <w:r>
              <w:rPr>
                <w:rFonts w:ascii="仿宋_GB2312" w:hAnsi="仿宋_GB2312" w:cs="仿宋_GB2312" w:eastAsia="仿宋_GB2312"/>
              </w:rPr>
              <w:t>供应商应授权合法的人员参加磋商全过程，其中法定代表人（或负责人）直接参加磋商的，须出具法定代表人（或负责人）身份证，并与营业执照上信息一致。法定代表人（或负责人）授权代表参加磋商的，提供法定代表人委托授权书及被授权人在开标日期前六个月内任意三个月的社保缴纳证明（须赋可查询的验证编号或验证二维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证书</w:t>
            </w:r>
          </w:p>
        </w:tc>
        <w:tc>
          <w:tcPr>
            <w:tcW w:type="dxa" w:w="3322"/>
          </w:tcPr>
          <w:p>
            <w:pPr>
              <w:pStyle w:val="null3"/>
            </w:pPr>
            <w:r>
              <w:rPr>
                <w:rFonts w:ascii="仿宋_GB2312" w:hAnsi="仿宋_GB2312" w:cs="仿宋_GB2312" w:eastAsia="仿宋_GB2312"/>
              </w:rPr>
              <w:t>供应商具有司法行政管理部门核发并经年审合格的《律师事务所执业许可证》</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案件当事人名单的投标供应商，不得为中国政府采购网（www.ccgp.gov.cn）政府采购严重违法失信行为记录名单中被财政部门禁止参加政府采购活动的投标供应商</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控股关系说明</w:t>
            </w:r>
          </w:p>
        </w:tc>
        <w:tc>
          <w:tcPr>
            <w:tcW w:type="dxa" w:w="3322"/>
          </w:tcPr>
          <w:p>
            <w:pPr>
              <w:pStyle w:val="null3"/>
            </w:pPr>
            <w:r>
              <w:rPr>
                <w:rFonts w:ascii="仿宋_GB2312" w:hAnsi="仿宋_GB2312" w:cs="仿宋_GB2312" w:eastAsia="仿宋_GB2312"/>
              </w:rPr>
              <w:t>单位负责人为同一人或者存在直接控股、管理关系的不同单位，不得参加同一合同项下的政府采购活动。除单一来源采购项目外，为采购项目提供整体设计、规范编制或者项目管理、检测等服务的供应商，不得再参加该采购项目的其他采购活动</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本项目不接受联合体磋商</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磋商响应文件的完整性审查</w:t>
            </w:r>
          </w:p>
        </w:tc>
        <w:tc>
          <w:tcPr>
            <w:tcW w:type="dxa" w:w="3322"/>
          </w:tcPr>
          <w:p>
            <w:pPr>
              <w:pStyle w:val="null3"/>
            </w:pPr>
            <w:r>
              <w:rPr>
                <w:rFonts w:ascii="仿宋_GB2312" w:hAnsi="仿宋_GB2312" w:cs="仿宋_GB2312" w:eastAsia="仿宋_GB2312"/>
              </w:rPr>
              <w:t>1.磋商响应文件是否按照磋商文件要求的格式编写； 2.磋商报价内容是否有重大缺漏项。</w:t>
            </w:r>
          </w:p>
        </w:tc>
        <w:tc>
          <w:tcPr>
            <w:tcW w:type="dxa" w:w="1661"/>
          </w:tcPr>
          <w:p>
            <w:pPr>
              <w:pStyle w:val="null3"/>
            </w:pPr>
            <w:r>
              <w:rPr>
                <w:rFonts w:ascii="仿宋_GB2312" w:hAnsi="仿宋_GB2312" w:cs="仿宋_GB2312" w:eastAsia="仿宋_GB2312"/>
              </w:rPr>
              <w:t>响应文件封面 商务应答表 服务内容及服务要求应答表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磋商响应文件的有效性审查</w:t>
            </w:r>
          </w:p>
        </w:tc>
        <w:tc>
          <w:tcPr>
            <w:tcW w:type="dxa" w:w="3322"/>
          </w:tcPr>
          <w:p>
            <w:pPr>
              <w:pStyle w:val="null3"/>
            </w:pPr>
            <w:r>
              <w:rPr>
                <w:rFonts w:ascii="仿宋_GB2312" w:hAnsi="仿宋_GB2312" w:cs="仿宋_GB2312" w:eastAsia="仿宋_GB2312"/>
              </w:rPr>
              <w:t>磋商响应文件的签署、加盖印章是否有效；提供的各种证明文件、数据、资料是否有效</w:t>
            </w:r>
          </w:p>
        </w:tc>
        <w:tc>
          <w:tcPr>
            <w:tcW w:type="dxa" w:w="1661"/>
          </w:tcPr>
          <w:p>
            <w:pPr>
              <w:pStyle w:val="null3"/>
            </w:pPr>
            <w:r>
              <w:rPr>
                <w:rFonts w:ascii="仿宋_GB2312" w:hAnsi="仿宋_GB2312" w:cs="仿宋_GB2312" w:eastAsia="仿宋_GB2312"/>
              </w:rPr>
              <w:t>响应文件封面 分项报价表.docx 供应商应提交的相关资格证明材料.docx 中小企业声明函 残疾人福利性单位声明函 商务应答表 服务方案 服务内容及服务要求应答表 标的清单 报价表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磋商响应文件的响应性审查</w:t>
            </w:r>
          </w:p>
        </w:tc>
        <w:tc>
          <w:tcPr>
            <w:tcW w:type="dxa" w:w="3322"/>
          </w:tcPr>
          <w:p>
            <w:pPr>
              <w:pStyle w:val="null3"/>
            </w:pPr>
            <w:r>
              <w:rPr>
                <w:rFonts w:ascii="仿宋_GB2312" w:hAnsi="仿宋_GB2312" w:cs="仿宋_GB2312" w:eastAsia="仿宋_GB2312"/>
              </w:rPr>
              <w:t>1、磋商报价是否未超过采购预算及最高限价； 2、磋商报价是否低于成本价，涉嫌不正当竞争； 3、磋商报价有效期是否符合磋商文件的要求； 4、响应文件内容是否符合国家法律法规，没有重大偏离； 5、对磋商文件中规定的要求是否做出了实质性响应；</w:t>
            </w:r>
          </w:p>
        </w:tc>
        <w:tc>
          <w:tcPr>
            <w:tcW w:type="dxa" w:w="1661"/>
          </w:tcPr>
          <w:p>
            <w:pPr>
              <w:pStyle w:val="null3"/>
            </w:pPr>
            <w:r>
              <w:rPr>
                <w:rFonts w:ascii="仿宋_GB2312" w:hAnsi="仿宋_GB2312" w:cs="仿宋_GB2312" w:eastAsia="仿宋_GB2312"/>
              </w:rPr>
              <w:t>响应文件封面 标的清单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总体实施方案</w:t>
            </w:r>
          </w:p>
        </w:tc>
        <w:tc>
          <w:tcPr>
            <w:tcW w:type="dxa" w:w="2492"/>
          </w:tcPr>
          <w:p>
            <w:pPr>
              <w:pStyle w:val="null3"/>
            </w:pPr>
            <w:r>
              <w:rPr>
                <w:rFonts w:ascii="仿宋_GB2312" w:hAnsi="仿宋_GB2312" w:cs="仿宋_GB2312" w:eastAsia="仿宋_GB2312"/>
              </w:rPr>
              <w:t>评审内容：：①服务分析及目标② 服务理念及特色③服务计划安排④重难点分析及解决措施。 评审标准：方案内容专门针对本项目编制，切合本项目实际情况及实施要求，内容与要点相符、每个要点均有展开详细的阐述且能够适用于本项目的得16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4分，扣完为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沟通协调机制</w:t>
            </w:r>
          </w:p>
        </w:tc>
        <w:tc>
          <w:tcPr>
            <w:tcW w:type="dxa" w:w="2492"/>
          </w:tcPr>
          <w:p>
            <w:pPr>
              <w:pStyle w:val="null3"/>
            </w:pPr>
            <w:r>
              <w:rPr>
                <w:rFonts w:ascii="仿宋_GB2312" w:hAnsi="仿宋_GB2312" w:cs="仿宋_GB2312" w:eastAsia="仿宋_GB2312"/>
              </w:rPr>
              <w:t>评审内容：①沟通管理体系；②程序和建议。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服务体系和工作流程</w:t>
            </w:r>
          </w:p>
        </w:tc>
        <w:tc>
          <w:tcPr>
            <w:tcW w:type="dxa" w:w="2492"/>
          </w:tcPr>
          <w:p>
            <w:pPr>
              <w:pStyle w:val="null3"/>
            </w:pPr>
            <w:r>
              <w:rPr>
                <w:rFonts w:ascii="仿宋_GB2312" w:hAnsi="仿宋_GB2312" w:cs="仿宋_GB2312" w:eastAsia="仿宋_GB2312"/>
              </w:rPr>
              <w:t>评审内容：①基础法律服务方案；②专项法律服务方案；③信访维稳法律服务方案。 评审标准：方案内容专门针对本项目编制，切合本项目实际情况及实施要求，内容与要点相符、每个要点均有展开详细的阐述且能够适用于本项目的得12分；评审内容有缺陷（缺陷是指：内容粗略、逻辑混乱、描述过于简单、与项目特点不匹配、凭空编造、逻辑漏洞、出现常识性错误、存在不可能实现的夸大情形）评审内容每项出现以上任一情形扣2分；方案缺漏项或只有标题没有实质性内容的扣4分，扣完为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保障措施</w:t>
            </w:r>
          </w:p>
        </w:tc>
        <w:tc>
          <w:tcPr>
            <w:tcW w:type="dxa" w:w="2492"/>
          </w:tcPr>
          <w:p>
            <w:pPr>
              <w:pStyle w:val="null3"/>
            </w:pPr>
            <w:r>
              <w:rPr>
                <w:rFonts w:ascii="仿宋_GB2312" w:hAnsi="仿宋_GB2312" w:cs="仿宋_GB2312" w:eastAsia="仿宋_GB2312"/>
              </w:rPr>
              <w:t>评审内容：①质量保障措施；②廉洁、职业道德；③人事管理制度；④财务管理制度；⑤质量控制制度；⑥业务管理制度；⑦业务档案管理制度。 评审标准：方案内容专门针对本项目编制，切合本项目实际情况及实施要求，内容与要点相符、每个要点均有展开详细的阐述且能够适用于本项目的得14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1、项目负责人（5分）： （1）具有有效的律师执业证（执行机构为投标供应商），得1分； （2）执业年限（2分）：≥5年，得2分；执业年限＜5年，得1分。 （3）类似项目业绩（2分）项目负责人具有类似项目业绩，每提供一份有效业绩得1分，满分2分，未提供得0分。 注:提供业绩合同(合同须体现项目负责人的信息，未体现的视为无效业绩)复印件或扫描件并加盖供应商公章。 2、人员配备情况（3分）： 提供拟投入人员汇总表，（内容包含：具体人员姓名、年龄、学历、证书、岗位职责、工作业绩和经验、当前分工），要求组织机构设置合理，拟派人员充足，人员职责分工明确，工作经验丰富。 （1）组织机构设置合理，人员充足经验丰富，有利于项目顺利实施，得3分； （2）组织机构设置较合理，人员较充足，有一定工作经验，基本能够保证项目顺利实施，得2分； （3）组织机构设置简单，人员职责分工不明确，工作经验缺乏，得1分。未提供不得分。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重点问题解决方案</w:t>
            </w:r>
          </w:p>
        </w:tc>
        <w:tc>
          <w:tcPr>
            <w:tcW w:type="dxa" w:w="2492"/>
          </w:tcPr>
          <w:p>
            <w:pPr>
              <w:pStyle w:val="null3"/>
            </w:pPr>
            <w:r>
              <w:rPr>
                <w:rFonts w:ascii="仿宋_GB2312" w:hAnsi="仿宋_GB2312" w:cs="仿宋_GB2312" w:eastAsia="仿宋_GB2312"/>
              </w:rPr>
              <w:t>评审内容：1.项目工作重点梳理；2.项目难点及潜在风险研判；3.重难点对应处置方案及应急措施。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评审内容：①客户信息保密措施；②员工保密管理措施；③泄密的处理及处罚措施。 评审标准：方案内容专门针对本项目编制，切合本项目实际情况及实施要求，内容与要点相符、每个要点均有展开详细的阐述且能够适用于本项目的得9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评审内容：①服务内容；②服务方式；③服务响应时间；④服务管理及质量保证。 评审标准：方案内容专门针对本项目编制，切合本项目实际情况及实施要求，内容与要点相符、每个要点均有展开详细的阐述且能够适用于本项目的得8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2分，扣完为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服务配合计划</w:t>
            </w:r>
          </w:p>
        </w:tc>
        <w:tc>
          <w:tcPr>
            <w:tcW w:type="dxa" w:w="2492"/>
          </w:tcPr>
          <w:p>
            <w:pPr>
              <w:pStyle w:val="null3"/>
            </w:pPr>
            <w:r>
              <w:rPr>
                <w:rFonts w:ascii="仿宋_GB2312" w:hAnsi="仿宋_GB2312" w:cs="仿宋_GB2312" w:eastAsia="仿宋_GB2312"/>
              </w:rPr>
              <w:t>评审内容：①后期服务内容；②培训方案。 评审标准：方案内容专门针对本项目编制，切合本项目实际情况及实施要求，内容与要点相符、每个要点均有展开详细的阐述且能够适用于本项目的得6分；评审内容有缺陷（缺陷是指：内容粗略、逻辑混乱、描述过于简单、与项目特点不匹配、凭空编造、逻辑漏洞、出现常识性错误、存在不可能实现的夸大情形）评审内容每项出现以上任一情形扣1分；方案缺漏项或只有标题没有实质性内容的扣3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提供供应商2022年5月至响应文件递交截止日类似项目业绩（以合同签订日期为准），每提供一份业绩计2.5分，最高计5分。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（2）满足磋商文件实质性要求且最终报价最低的供应商的价格为磋商基准价，其价格分为满分10分。 （3）磋商报价得分=（磋商基准价/最终磋商报价）×10。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