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版本号：ZKGSF(ZB)-2026098920260610002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宣传大屏建设工程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ZKGSF(ZB)-20260989</w:t>
      </w:r>
      <w:r>
        <w:br/>
      </w:r>
      <w:r>
        <w:br/>
      </w:r>
      <w:r>
        <w:br/>
      </w:r>
    </w:p>
    <w:p>
      <w:pPr>
        <w:pStyle w:val="null3"/>
        <w:jc w:val="center"/>
        <w:outlineLvl w:val="2"/>
      </w:pPr>
      <w:r>
        <w:rPr>
          <w:rFonts w:ascii="仿宋_GB2312" w:hAnsi="仿宋_GB2312" w:cs="仿宋_GB2312" w:eastAsia="仿宋_GB2312"/>
          <w:sz w:val="28"/>
          <w:b/>
        </w:rPr>
        <w:t>陕西省森林工业职工医院</w:t>
      </w:r>
    </w:p>
    <w:p>
      <w:pPr>
        <w:pStyle w:val="null3"/>
        <w:jc w:val="center"/>
        <w:outlineLvl w:val="2"/>
      </w:pPr>
      <w:r>
        <w:rPr>
          <w:rFonts w:ascii="仿宋_GB2312" w:hAnsi="仿宋_GB2312" w:cs="仿宋_GB2312" w:eastAsia="仿宋_GB2312"/>
          <w:sz w:val="28"/>
          <w:b/>
        </w:rPr>
        <w:t>中科高盛咨询集团有限公司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中科高盛咨询集团有限公司</w:t>
      </w:r>
      <w:r>
        <w:rPr>
          <w:rFonts w:ascii="仿宋_GB2312" w:hAnsi="仿宋_GB2312" w:cs="仿宋_GB2312" w:eastAsia="仿宋_GB2312"/>
        </w:rPr>
        <w:t>（以下简称“代理机构”）受</w:t>
      </w:r>
      <w:r>
        <w:rPr>
          <w:rFonts w:ascii="仿宋_GB2312" w:hAnsi="仿宋_GB2312" w:cs="仿宋_GB2312" w:eastAsia="仿宋_GB2312"/>
        </w:rPr>
        <w:t>陕西省森林工业职工医院</w:t>
      </w:r>
      <w:r>
        <w:rPr>
          <w:rFonts w:ascii="仿宋_GB2312" w:hAnsi="仿宋_GB2312" w:cs="仿宋_GB2312" w:eastAsia="仿宋_GB2312"/>
        </w:rPr>
        <w:t>委托，拟对</w:t>
      </w:r>
      <w:r>
        <w:rPr>
          <w:rFonts w:ascii="仿宋_GB2312" w:hAnsi="仿宋_GB2312" w:cs="仿宋_GB2312" w:eastAsia="仿宋_GB2312"/>
        </w:rPr>
        <w:t>宣传大屏建设工程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ZKGSF(ZB)-20260989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宣传大屏建设工程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陕西省森林工业职工医院宣传大屏建设工程，包含屏体、控制系统、钢结构、主体基础、配电系统、安装调试等。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采购包1（宣传大屏建设工程）：属于专门面向中小企业采购。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1、法定代表人授权书：法定代表人直接参加磋商的，须出具法定代表人身份证明书，并与营业执照上信息一致。法定代表人授权代表参加磋商的，须出具法定代表人授权书及授权代表身份证复印件。</w:t>
      </w:r>
    </w:p>
    <w:p>
      <w:pPr>
        <w:pStyle w:val="null3"/>
      </w:pPr>
      <w:r>
        <w:rPr>
          <w:rFonts w:ascii="仿宋_GB2312" w:hAnsi="仿宋_GB2312" w:cs="仿宋_GB2312" w:eastAsia="仿宋_GB2312"/>
        </w:rPr>
        <w:t>2、供应商信誉要求：不得为“信用中国”网站(http://www.creditchina.gov.cn)列入“失信被执行人、重大税收违法失信主体 、政府采购严重违法失信行为记录名单”的供应商；不得为中国政府采购网(http://w ww.ccgp.gov.cn)“政府采购严重违法失信行为 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陕西省森林工业职工医院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西安市鄠邑区画展街9号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陕西省森林工业职工医院经办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18066714419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中科高盛咨询集团有限公司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西安市未央区未央路113号雅荷花园A18栋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张俊姣、郭雅楠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029-81310033、17792634642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陕西省森林工业职工医院</w:t>
      </w:r>
      <w:r>
        <w:rPr>
          <w:rFonts w:ascii="仿宋_GB2312" w:hAnsi="仿宋_GB2312" w:cs="仿宋_GB2312" w:eastAsia="仿宋_GB2312"/>
        </w:rPr>
        <w:t>和</w:t>
      </w:r>
      <w:r>
        <w:rPr>
          <w:rFonts w:ascii="仿宋_GB2312" w:hAnsi="仿宋_GB2312" w:cs="仿宋_GB2312" w:eastAsia="仿宋_GB2312"/>
        </w:rPr>
        <w:t>中科高盛咨询集团有限公司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陕西省森林工业职工医院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中科高盛咨询集团有限公司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陕西省森林工业职工医院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中科高盛咨询集团有限公司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联系人：张俊姣、郭雅楠</w:t>
      </w:r>
    </w:p>
    <w:p>
      <w:pPr>
        <w:pStyle w:val="null3"/>
      </w:pPr>
      <w:r>
        <w:rPr>
          <w:rFonts w:ascii="仿宋_GB2312" w:hAnsi="仿宋_GB2312" w:cs="仿宋_GB2312" w:eastAsia="仿宋_GB2312"/>
        </w:rPr>
        <w:t>联系电话：029-81310033</w:t>
      </w:r>
    </w:p>
    <w:p>
      <w:pPr>
        <w:pStyle w:val="null3"/>
      </w:pPr>
      <w:r>
        <w:rPr>
          <w:rFonts w:ascii="仿宋_GB2312" w:hAnsi="仿宋_GB2312" w:cs="仿宋_GB2312" w:eastAsia="仿宋_GB2312"/>
        </w:rPr>
        <w:t>地址：西安市未央区未央路113号雅荷花园A18栋</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498,000.00</w:t>
      </w:r>
    </w:p>
    <w:p>
      <w:pPr>
        <w:pStyle w:val="null3"/>
      </w:pPr>
      <w:r>
        <w:rPr>
          <w:rFonts w:ascii="仿宋_GB2312" w:hAnsi="仿宋_GB2312" w:cs="仿宋_GB2312" w:eastAsia="仿宋_GB2312"/>
        </w:rPr>
        <w:t>采购包最高限价（元）: 498,000.00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户外全彩宣传大屏构筑物及配套工程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标的名称：户外全彩宣传大屏构筑物及配套工程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68"/>
              <w:gridCol w:w="415"/>
              <w:gridCol w:w="1570"/>
            </w:tblGrid>
            <w:tr>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1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pPr>
                </w:p>
              </w:tc>
              <w:tc>
                <w:tcPr>
                  <w:tcW w:type="dxa" w:w="1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 xml:space="preserve"> </w:t>
                  </w:r>
                  <w:r>
                    <w:rPr>
                      <w:rFonts w:ascii="仿宋_GB2312" w:hAnsi="仿宋_GB2312" w:cs="仿宋_GB2312" w:eastAsia="仿宋_GB2312"/>
                      <w:sz w:val="24"/>
                    </w:rPr>
                    <w:t>一</w:t>
                  </w:r>
                  <w:r>
                    <w:rPr>
                      <w:rFonts w:ascii="仿宋_GB2312" w:hAnsi="仿宋_GB2312" w:cs="仿宋_GB2312" w:eastAsia="仿宋_GB2312"/>
                      <w:sz w:val="21"/>
                      <w:color w:val="000000"/>
                    </w:rPr>
                    <w:t>、规格参数及技术要求</w:t>
                  </w:r>
                </w:p>
                <w:p>
                  <w:pPr>
                    <w:pStyle w:val="null3"/>
                    <w:spacing w:after="165"/>
                  </w:pPr>
                  <w:r>
                    <w:rPr>
                      <w:rFonts w:ascii="仿宋_GB2312" w:hAnsi="仿宋_GB2312" w:cs="仿宋_GB2312" w:eastAsia="仿宋_GB2312"/>
                      <w:sz w:val="21"/>
                      <w:color w:val="000000"/>
                    </w:rPr>
                    <w:t>1.屏体类型：全彩LED（间距：P4）</w:t>
                  </w:r>
                </w:p>
                <w:p>
                  <w:pPr>
                    <w:pStyle w:val="null3"/>
                    <w:spacing w:after="165"/>
                  </w:pPr>
                  <w:r>
                    <w:rPr>
                      <w:rFonts w:ascii="仿宋_GB2312" w:hAnsi="仿宋_GB2312" w:cs="仿宋_GB2312" w:eastAsia="仿宋_GB2312"/>
                      <w:sz w:val="21"/>
                      <w:color w:val="000000"/>
                    </w:rPr>
                    <w:t>2.显示尺寸：宽3.84m × 高7.68m，面积29.5㎡</w:t>
                  </w:r>
                </w:p>
                <w:p>
                  <w:pPr>
                    <w:pStyle w:val="null3"/>
                    <w:spacing w:after="165"/>
                  </w:pPr>
                  <w:r>
                    <w:rPr>
                      <w:rFonts w:ascii="仿宋_GB2312" w:hAnsi="仿宋_GB2312" w:cs="仿宋_GB2312" w:eastAsia="仿宋_GB2312"/>
                      <w:sz w:val="21"/>
                      <w:color w:val="000000"/>
                    </w:rPr>
                    <w:t>3.像素密度：≥62500点/㎡</w:t>
                  </w:r>
                </w:p>
                <w:p>
                  <w:pPr>
                    <w:pStyle w:val="null3"/>
                    <w:spacing w:after="165"/>
                  </w:pPr>
                  <w:r>
                    <w:rPr>
                      <w:rFonts w:ascii="仿宋_GB2312" w:hAnsi="仿宋_GB2312" w:cs="仿宋_GB2312" w:eastAsia="仿宋_GB2312"/>
                      <w:sz w:val="21"/>
                      <w:color w:val="000000"/>
                    </w:rPr>
                    <w:t>4.亮度：≥6000cd/㎡</w:t>
                  </w:r>
                </w:p>
                <w:p>
                  <w:pPr>
                    <w:pStyle w:val="null3"/>
                    <w:spacing w:after="165"/>
                  </w:pPr>
                  <w:r>
                    <w:rPr>
                      <w:rFonts w:ascii="仿宋_GB2312" w:hAnsi="仿宋_GB2312" w:cs="仿宋_GB2312" w:eastAsia="仿宋_GB2312"/>
                      <w:sz w:val="21"/>
                      <w:color w:val="000000"/>
                    </w:rPr>
                    <w:t>5.刷新率：≥3840Hz</w:t>
                  </w:r>
                </w:p>
                <w:p>
                  <w:pPr>
                    <w:pStyle w:val="null3"/>
                    <w:spacing w:after="165"/>
                  </w:pPr>
                  <w:r>
                    <w:rPr>
                      <w:rFonts w:ascii="仿宋_GB2312" w:hAnsi="仿宋_GB2312" w:cs="仿宋_GB2312" w:eastAsia="仿宋_GB2312"/>
                      <w:sz w:val="21"/>
                      <w:color w:val="000000"/>
                    </w:rPr>
                    <w:t>6.视角：水平≥170°，垂直≥120°</w:t>
                  </w:r>
                </w:p>
                <w:p>
                  <w:pPr>
                    <w:pStyle w:val="null3"/>
                    <w:spacing w:after="165"/>
                  </w:pPr>
                  <w:r>
                    <w:rPr>
                      <w:rFonts w:ascii="仿宋_GB2312" w:hAnsi="仿宋_GB2312" w:cs="仿宋_GB2312" w:eastAsia="仿宋_GB2312"/>
                      <w:sz w:val="21"/>
                      <w:color w:val="000000"/>
                    </w:rPr>
                    <w:t>7.防护等级 户外≥IP65</w:t>
                  </w:r>
                </w:p>
                <w:p>
                  <w:pPr>
                    <w:pStyle w:val="null3"/>
                    <w:spacing w:after="165"/>
                  </w:pPr>
                  <w:r>
                    <w:rPr>
                      <w:rFonts w:ascii="仿宋_GB2312" w:hAnsi="仿宋_GB2312" w:cs="仿宋_GB2312" w:eastAsia="仿宋_GB2312"/>
                      <w:sz w:val="21"/>
                      <w:color w:val="000000"/>
                    </w:rPr>
                    <w:t>8.控制系统：同步/异步电脑控制</w:t>
                  </w:r>
                </w:p>
                <w:p>
                  <w:pPr>
                    <w:pStyle w:val="null3"/>
                    <w:spacing w:after="165"/>
                  </w:pPr>
                  <w:r>
                    <w:rPr>
                      <w:rFonts w:ascii="仿宋_GB2312" w:hAnsi="仿宋_GB2312" w:cs="仿宋_GB2312" w:eastAsia="仿宋_GB2312"/>
                      <w:sz w:val="21"/>
                      <w:color w:val="000000"/>
                    </w:rPr>
                    <w:t>9.供电要求：AC220V/380V，具备过压过流保护</w:t>
                  </w:r>
                </w:p>
                <w:p>
                  <w:pPr>
                    <w:pStyle w:val="null3"/>
                    <w:spacing w:after="165"/>
                  </w:pPr>
                  <w:r>
                    <w:rPr>
                      <w:rFonts w:ascii="仿宋_GB2312" w:hAnsi="仿宋_GB2312" w:cs="仿宋_GB2312" w:eastAsia="仿宋_GB2312"/>
                      <w:sz w:val="21"/>
                      <w:color w:val="000000"/>
                    </w:rPr>
                    <w:t>10.其他：含视频处理器、播放软件及控制系统、框架结构、结构基础、散热及防雷设施</w:t>
                  </w:r>
                  <w:r>
                    <w:rPr>
                      <w:rFonts w:ascii="仿宋_GB2312" w:hAnsi="仿宋_GB2312" w:cs="仿宋_GB2312" w:eastAsia="仿宋_GB2312"/>
                      <w:sz w:val="21"/>
                      <w:color w:val="000000"/>
                    </w:rPr>
                    <w:t>。</w:t>
                  </w:r>
                </w:p>
                <w:p>
                  <w:pPr>
                    <w:pStyle w:val="null3"/>
                    <w:spacing w:after="165"/>
                  </w:pPr>
                  <w:r>
                    <w:rPr>
                      <w:rFonts w:ascii="仿宋_GB2312" w:hAnsi="仿宋_GB2312" w:cs="仿宋_GB2312" w:eastAsia="仿宋_GB2312"/>
                      <w:sz w:val="21"/>
                      <w:color w:val="000000"/>
                    </w:rPr>
                    <w:t>二</w:t>
                  </w:r>
                  <w:r>
                    <w:rPr>
                      <w:rFonts w:ascii="仿宋_GB2312" w:hAnsi="仿宋_GB2312" w:cs="仿宋_GB2312" w:eastAsia="仿宋_GB2312"/>
                      <w:sz w:val="21"/>
                      <w:color w:val="000000"/>
                    </w:rPr>
                    <w:t>、采购内容清单</w:t>
                  </w:r>
                </w:p>
                <w:tbl>
                  <w:tblPr>
                    <w:tblBorders>
                      <w:top w:val="none" w:color="000000" w:sz="4"/>
                      <w:left w:val="none" w:color="000000" w:sz="4"/>
                      <w:bottom w:val="none" w:color="000000" w:sz="4"/>
                      <w:right w:val="none" w:color="000000" w:sz="4"/>
                      <w:insideH w:val="none"/>
                      <w:insideV w:val="none"/>
                    </w:tblBorders>
                  </w:tblPr>
                  <w:tblGrid>
                    <w:gridCol w:w="164"/>
                    <w:gridCol w:w="189"/>
                    <w:gridCol w:w="411"/>
                    <w:gridCol w:w="131"/>
                    <w:gridCol w:w="205"/>
                    <w:gridCol w:w="242"/>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/型号</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LED显示屏</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P4全彩</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29.5</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屏幕主体</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视频处理器</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支持输入接口：</w:t>
                        </w:r>
                        <w:r>
                          <w:rPr>
                            <w:rFonts w:ascii="仿宋_GB2312" w:hAnsi="仿宋_GB2312" w:cs="仿宋_GB2312" w:eastAsia="仿宋_GB2312"/>
                            <w:sz w:val="21"/>
                            <w:color w:val="000000"/>
                          </w:rPr>
                          <w:t>HDMI/DVI/VGA</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钢结构及包边</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主体钢结构框架及包边</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安装支架、铝合金包边</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配电柜</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智能上电</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播放控制系统</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电脑主机、显示器</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线缆辅材</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网线、电源线、排线布线</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基础工程</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预埋基础及立柱</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散热系统</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2p空调</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安防系统</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监控摄像头及配套工程</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安装调试</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现场安装、系统调试</w:t>
                        </w: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2"/>
                    </w:rPr>
                    <w:t>三、售后服务</w:t>
                  </w:r>
                </w:p>
                <w:p>
                  <w:pPr>
                    <w:pStyle w:val="null3"/>
                  </w:pPr>
                  <w:r>
                    <w:rPr>
                      <w:rFonts w:ascii="仿宋_GB2312" w:hAnsi="仿宋_GB2312" w:cs="仿宋_GB2312" w:eastAsia="仿宋_GB2312"/>
                      <w:sz w:val="22"/>
                    </w:rPr>
                    <w:t>（1）提供7×24小时响应，故障2小时内响应，24小时内到现场。</w:t>
                  </w:r>
                </w:p>
                <w:p>
                  <w:pPr>
                    <w:pStyle w:val="null3"/>
                  </w:pPr>
                  <w:r>
                    <w:rPr>
                      <w:rFonts w:ascii="仿宋_GB2312" w:hAnsi="仿宋_GB2312" w:cs="仿宋_GB2312" w:eastAsia="仿宋_GB2312"/>
                      <w:sz w:val="22"/>
                    </w:rPr>
                    <w:t>（2）质保期内免费维修或更换损坏部件。</w:t>
                  </w:r>
                </w:p>
                <w:p>
                  <w:pPr>
                    <w:pStyle w:val="null3"/>
                  </w:pPr>
                  <w:r>
                    <w:rPr>
                      <w:rFonts w:ascii="仿宋_GB2312" w:hAnsi="仿宋_GB2312" w:cs="仿宋_GB2312" w:eastAsia="仿宋_GB2312"/>
                      <w:sz w:val="22"/>
                    </w:rPr>
                    <w:t>四、</w:t>
                  </w:r>
                  <w:r>
                    <w:rPr>
                      <w:rFonts w:ascii="仿宋_GB2312" w:hAnsi="仿宋_GB2312" w:cs="仿宋_GB2312" w:eastAsia="仿宋_GB2312"/>
                      <w:sz w:val="22"/>
                    </w:rPr>
                    <w:t>培训服务</w:t>
                  </w:r>
                </w:p>
                <w:p>
                  <w:pPr>
                    <w:pStyle w:val="null3"/>
                  </w:pPr>
                  <w:r>
                    <w:rPr>
                      <w:rFonts w:ascii="仿宋_GB2312" w:hAnsi="仿宋_GB2312" w:cs="仿宋_GB2312" w:eastAsia="仿宋_GB2312"/>
                      <w:sz w:val="22"/>
                    </w:rPr>
                    <w:t>提供不少于</w:t>
                  </w:r>
                  <w:r>
                    <w:rPr>
                      <w:rFonts w:ascii="仿宋_GB2312" w:hAnsi="仿宋_GB2312" w:cs="仿宋_GB2312" w:eastAsia="仿宋_GB2312"/>
                      <w:sz w:val="22"/>
                    </w:rPr>
                    <w:t>2人的现场操作及日常维护培训</w:t>
                  </w:r>
                  <w:r>
                    <w:rPr>
                      <w:rFonts w:ascii="仿宋_GB2312" w:hAnsi="仿宋_GB2312" w:cs="仿宋_GB2312" w:eastAsia="仿宋_GB2312"/>
                      <w:sz w:val="21"/>
                      <w:color w:val="000000"/>
                    </w:rPr>
                    <w:t>。</w:t>
                  </w:r>
                </w:p>
              </w:tc>
            </w:tr>
          </w:tbl>
          <w:p>
            <w:pPr>
              <w:pStyle w:val="null3"/>
              <w:spacing w:after="165"/>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严格按照国家、地方及行业相关规范、规程、标准及采购人相关要求执行。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1.工期：合同签订后20个日历天内完成项目全部内容。 2.质保期：户外LED屏整机质保 18个月（从验收合格之日起算）。 3.工程质量：符合国家、地方及行业相关规范、规程、标准及采购人相关要求。 4.支付方式： （1）合同签订，乙方施工进场10日历天后，乙方应开具相应发票予甲方，支付至合同价款的30%。 （2）工程竣工验收合格后，乙方应开具相应发票予甲方，支付至合同价款的75%。 （3）审计完成后，乙方应开具相应发票予甲方，支付至审计价款的97%。 余3%为质保金，质保期满且无质量问题后，一次性付清。 5.成交供应商在开标结束后3个工作日内向代理机构提供纸质版投标文件，投标文件为正本一份，副本二份，电子U盘二份 （U盘内容包括Word版本、签字盖章扫描后的PDF版本投标文件）。纸质投标文件均须A4纸打印，分别各自装订成册并编制目录和页码。与电子竞争性磋商响应文件一致的签字、盖章的完整版本。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有效的主体资格证明：供应商为具有独立承担民事责任能力的法人或其他组织或自然人，并提供法人或者其他组织合法有效的统一社会信用代码的营业执照等证明文件，事业单位应提供事业单位法人证书，自然人应提供身份证明文件。 2 、税收缴纳证明：提供磋商截止时间前6个月内至少一个月的纳税证明或完税证明（任意税种），依法免税的单位应提供相关证明材料。 3 、社会保障资金缴纳证明：提 供磋商截止时间前6个月内至少一个月的社会保障资金缴存单据或社保机构开具的社会保险参保缴费情况证明，依法不需要缴纳社会保障 资金的单位应提供相关证明材料。 4 、书面声明：参加政府采购活动 前3年内在经营活动中没有重大违法记录的书面声明。 5 、证明材料或 承诺：具备履行合同所必需的设备和专业技术能力的证明材料(由供应 商根据项目需求提供说明材料或者承诺)。</w:t>
            </w:r>
          </w:p>
        </w:tc>
        <w:tc>
          <w:tcPr>
            <w:tcW w:type="dxa" w:w="1661"/>
          </w:tcPr>
          <w:p>
            <w:pPr>
              <w:pStyle w:val="null3"/>
            </w:pPr>
            <w:r>
              <w:rPr>
                <w:rFonts w:ascii="仿宋_GB2312" w:hAnsi="仿宋_GB2312" w:cs="仿宋_GB2312" w:eastAsia="仿宋_GB2312"/>
              </w:rPr>
              <w:t>供应商应提交的相关资格证明材料.docx 拒绝政府采购领域商业贿赂承诺书.docx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任选其一）｛注：①可提供2024或2025年度经审计的财务报告（应当包括资产负债表、利润表、现金流量表、所有者权益变动表、附注），②可提供磋商截止时间前一年内银行出具的资信证明，③供应商注册时间至磋商截止时间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法定代表人直接参加磋商的，须出具法定代表人身份证明书，并与营业执照上信息一致。法定代表人授权代表参加磋商的，须出具法定代表人授权书及授权代表身份证复印件。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 、政府采购严重违法失信行为记录名单”的供应商；不得为中国政府采购网(http://w ww.ccgp.gov.cn)“政府采购严重违法失信行为 记录名单”中的供应商。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中小企业声明函 响应偏离表.docx 强制优先采购产品承诺函 响应文件封面 供应商应提交的相关资格证明材料.docx 项目管理机构组成表 残疾人福利性单位声明函 拒绝政府采购领域商业贿赂承诺书.docx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满足本磋商文件中的实质性条款（如：工期、工程质量、质保期、支付方式等）要求</w:t>
            </w:r>
          </w:p>
        </w:tc>
        <w:tc>
          <w:tcPr>
            <w:tcW w:type="dxa" w:w="1661"/>
          </w:tcPr>
          <w:p>
            <w:pPr>
              <w:pStyle w:val="null3"/>
            </w:pPr>
            <w:r>
              <w:rPr>
                <w:rFonts w:ascii="仿宋_GB2312" w:hAnsi="仿宋_GB2312" w:cs="仿宋_GB2312" w:eastAsia="仿宋_GB2312"/>
              </w:rPr>
              <w:t>响应文件封面 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法律、规章、规范性文件和磋商文件规定的其他无效情形</w:t>
            </w:r>
          </w:p>
        </w:tc>
        <w:tc>
          <w:tcPr>
            <w:tcW w:type="dxa" w:w="1661"/>
          </w:tcPr>
          <w:p>
            <w:pPr>
              <w:pStyle w:val="null3"/>
            </w:pPr>
            <w:r>
              <w:rPr>
                <w:rFonts w:ascii="仿宋_GB2312" w:hAnsi="仿宋_GB2312" w:cs="仿宋_GB2312" w:eastAsia="仿宋_GB2312"/>
              </w:rPr>
              <w:t>中小企业声明函 残疾人福利性单位声明函 强制优先采购产品承诺函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所投产品技术参数完全满足竞争性磋商文件要求、无负偏离的，得 16分。技术参数每出现一项负偏离，扣 2 分，扣完为止。 注：供应商须提供检测报告、产品彩页、官网截图等佐证材料，证明技术参数响应情况。因佐证材料不全导致被认定为参数偏离的，相关风险由供应商自行承担。</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施工内容</w:t>
            </w:r>
          </w:p>
        </w:tc>
        <w:tc>
          <w:tcPr>
            <w:tcW w:type="dxa" w:w="2492"/>
          </w:tcPr>
          <w:p>
            <w:pPr>
              <w:pStyle w:val="null3"/>
            </w:pPr>
            <w:r>
              <w:rPr>
                <w:rFonts w:ascii="仿宋_GB2312" w:hAnsi="仿宋_GB2312" w:cs="仿宋_GB2312" w:eastAsia="仿宋_GB2312"/>
              </w:rPr>
              <w:t>针对本项目施工内容，制定详细的施工方案，同时必须确保质量和服务，思路清晰、全面、合理、具有针对性得2.1～5分；较清晰、全面、合理、具有针对性得0～2分。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施工部署及施工工艺</w:t>
            </w:r>
          </w:p>
        </w:tc>
        <w:tc>
          <w:tcPr>
            <w:tcW w:type="dxa" w:w="2492"/>
          </w:tcPr>
          <w:p>
            <w:pPr>
              <w:pStyle w:val="null3"/>
            </w:pPr>
            <w:r>
              <w:rPr>
                <w:rFonts w:ascii="仿宋_GB2312" w:hAnsi="仿宋_GB2312" w:cs="仿宋_GB2312" w:eastAsia="仿宋_GB2312"/>
              </w:rPr>
              <w:t>施工部署及施工工艺，合理可行、技术先进得2.1～4分；基本可行得0～2分。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材料、施工机械配备、设施及劳动力配备计划，满足得2.1～4分；基本满足得0～2分。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施工进度计划及工期保证措施，合理可行得2.1～4分；基本可行得0～2分。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质量保证体系及措施，具有全面性、有效性、预见性、针对性得2.1～5分；基本可行得0～2分。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安全文明施工组织措施及环境保护措施</w:t>
            </w:r>
          </w:p>
        </w:tc>
        <w:tc>
          <w:tcPr>
            <w:tcW w:type="dxa" w:w="2492"/>
          </w:tcPr>
          <w:p>
            <w:pPr>
              <w:pStyle w:val="null3"/>
            </w:pPr>
            <w:r>
              <w:rPr>
                <w:rFonts w:ascii="仿宋_GB2312" w:hAnsi="仿宋_GB2312" w:cs="仿宋_GB2312" w:eastAsia="仿宋_GB2312"/>
              </w:rPr>
              <w:t>安全文明施工组织措施及环境保护措施，合理可行得2.1～4分；基本可行得0～2分。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部机构及人员组成，项目部人员配置齐全，全部持证上岗（配备施工员、安全员、质量员等）。满足现场工作需要，设置合理，有完善的设计工作管理制度，专业人员配备结构合理；有明确、合理的岗位职责得4.1～8分；配备人员数量和资格满足现场工作需要得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应急措施、应急预案</w:t>
            </w:r>
          </w:p>
        </w:tc>
        <w:tc>
          <w:tcPr>
            <w:tcW w:type="dxa" w:w="2492"/>
          </w:tcPr>
          <w:p>
            <w:pPr>
              <w:pStyle w:val="null3"/>
            </w:pPr>
            <w:r>
              <w:rPr>
                <w:rFonts w:ascii="仿宋_GB2312" w:hAnsi="仿宋_GB2312" w:cs="仿宋_GB2312" w:eastAsia="仿宋_GB2312"/>
              </w:rPr>
              <w:t>提供针对本项目的突发事件应急预案及措施，包括但不限于不可抗力因素、停电、设备故障等，具有切实可行的应急管理预案，措施和承诺详细可行，得2.1～4分；基本满足得0～2分。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针对本项目提供详细的售后服务方案，包括①售后服务机构及售后服务人员配置、 ②售后服务响应方案③售后服务保障措施及承诺。售后服务方案完整，可实施性强，针对性行高，得2.1～5分；基本满足，得0～2分。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供应商有完善的培训保障体系，技术培训标准和条件，包括培训方案、培训进程等内容，培训服务措施和承诺详细可行，得2.1～3分；基本满足，得0～2分。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提供2023年1月至今同类项目业绩并加盖单位公章，以合同(协议)为准，时间以合同(协议)签订时间为准。每一个类似项目业绩计2分，满分8分。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价格分采用低价优先法计算，即满足磋商文件要求且投标价格最低的投标报价为评审基准价，其价格分为满分。其他供应商的价格分统一按照下列公式计算：投标报价得分 =（评审基准价/磋商报价）×价格权值×100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LED屏工程量清单.xlsx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详见附件：LED屏工程量清单.xlsx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详见附件：合同（上传）.docx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