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"/>
        <w:gridCol w:w="1329"/>
        <w:gridCol w:w="6020"/>
      </w:tblGrid>
      <w:tr w14:paraId="1A59E4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985" w:type="dxa"/>
          </w:tcPr>
          <w:p w14:paraId="6F2152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329" w:type="dxa"/>
          </w:tcPr>
          <w:p w14:paraId="22C8D07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020" w:type="dxa"/>
          </w:tcPr>
          <w:p w14:paraId="1489D7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2304B2C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 w14:paraId="48698F2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329" w:type="dxa"/>
          </w:tcPr>
          <w:p w14:paraId="6C950977"/>
        </w:tc>
        <w:tc>
          <w:tcPr>
            <w:tcW w:w="6020" w:type="dxa"/>
          </w:tcPr>
          <w:p w14:paraId="74FDB439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一、项目概况</w:t>
            </w:r>
          </w:p>
          <w:p w14:paraId="598F21C1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“西南边疆展(暂定名)”展览设计、施工制作及布展。展厅平面面积约440平方米，吊顶以下高度4.4米。呈“长方形”布局。</w:t>
            </w:r>
          </w:p>
          <w:p w14:paraId="3DD434E9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本次展览聚焦云桂地区特色文化符号，以铜鼓为核心载体，彰显了在文化传播和价值传递中的独特价值。</w:t>
            </w:r>
          </w:p>
          <w:p w14:paraId="2F47E200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铜鼓是岭南地区古老而别致的历史文物。公元前7世纪左右，起源于云南，发展壮大在广西，其延续时间久、使用民族多、流传范围广，分布于我国云南、广西、广东、贵州、四川、湖南以及越南等东南亚国家。至今，在中国西南地区各民族和东南亚国家仍在使用，铜鼓已成为我国重要的非物质文化遗产。</w:t>
            </w:r>
          </w:p>
          <w:p w14:paraId="1A60FCAE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铜鼓的跨民族、跨区域性，在岭南地区被各民族高度认同，同时又作为乐器的本质与中华文化的关联，使其凸显出本地化的特色。丰富的纹饰和立体装饰，以及奇奇怪怪的装饰纹样是生活的写照还是蕴含着人间奥秘?都显示出铜鼓不再是单纯的乐器，其承载着情感归属、民族记忆与文化认同，是各民族共有的精神家园，其内在的凝聚力与跨民族、跨区域的认同功能，使其成为“共同体信物”。</w:t>
            </w:r>
          </w:p>
        </w:tc>
      </w:tr>
      <w:tr w14:paraId="61FDDD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 w14:paraId="34ADEC9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329" w:type="dxa"/>
          </w:tcPr>
          <w:p w14:paraId="45FEE902"/>
        </w:tc>
        <w:tc>
          <w:tcPr>
            <w:tcW w:w="6020" w:type="dxa"/>
          </w:tcPr>
          <w:p w14:paraId="05650B8E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二、技术要求：</w:t>
            </w:r>
          </w:p>
          <w:p w14:paraId="3FF1085F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1.设计依据与范围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   “西南边疆展”（暂定名）展览的整体设计与制作，由供应商根据采购人提供的展陈大纲、展品清单、原始展厅平面图纸等相关资料，完成深化设计和制作施工。供应商须对展厅现场进行详细勘察与测绘，确保设计落地。</w:t>
            </w:r>
          </w:p>
          <w:p w14:paraId="11E46910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2.形式设计要求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    展览形式设计应充分响应展陈大纲，空间布局合理，展线清晰流畅。展览整体设计视觉效果具有冲击力且与展览主题高度统一；数字化展示设计须提出新颖的交互方案，明确创新点与适宜的互动体验项目。倡导采用安全、环保的新材料和新技术，兼顾参观舒适度与长时间观展体验。</w:t>
            </w:r>
          </w:p>
          <w:p w14:paraId="3724A0E7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3.方案提交内容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    供应商须按采购要求提交完整的设计方案、施工组织方案及详细报价清单，具体包括但不限于：</w:t>
            </w:r>
          </w:p>
          <w:p w14:paraId="2FD6335C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（1）设计方案：展览平面图、文物平面布置图、参观流线图、展柜及照明点位图（含回路）、电路及弱电布置图、展厅效果图、重点展项效果图、图文展板排版设计稿、多媒体展项系统设计及交互脚本等。</w:t>
            </w:r>
          </w:p>
          <w:p w14:paraId="5C6C504A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（2）施工组织方案：全套施工图（平面、立面、剖面、节点大样、设备安装图等）、施工进度计划（横道图或网络图）、项目管理人员配置等。</w:t>
            </w:r>
          </w:p>
          <w:p w14:paraId="6CF94100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（3）报价清单：按工程量清单形式分项列明设计费、基础制作费、文物展柜费、专业照明费、多媒体设备租赁及内容制作费、布展费、线上展览开发费、撤展费等，并注明规格、品牌、数量及单价。</w:t>
            </w:r>
          </w:p>
          <w:p w14:paraId="5F9CD54F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4.深化设计与修改配合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   成交后，采购人有权组织专家对设计方案进行论证、提出修改意见，供应商须全面、及时配合修改、调整和深化设计，包括但不限于空间、立面、平面、照明、材料及施工节点细节。深化设计图纸及材料样板须经采购人书面确认后方可实施，后续任何涉及效果、功能及安全的变更必须事先取得采购人同意。深化设计阶段，供应商须指派设计代表驻场，专人负责沟通协调。除采购人新增需求外，方案优化不得降低原设计标准，合同总价不予调整。</w:t>
            </w:r>
          </w:p>
          <w:p w14:paraId="4DE2185B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5.基础制作与辅助设施范围</w:t>
            </w:r>
          </w:p>
          <w:p w14:paraId="4DDD5B3C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（1）基础制作：包含门头结构、展墙搭建、吊顶改造、独立展台展托、图文展板基层、强弱电及照明线路铺设等。文物展柜制作安装须满足第6条专项要求。</w:t>
            </w:r>
          </w:p>
          <w:p w14:paraId="51240E54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（2）辅助展示设施与服务：文物专用支架（含金属支架、亚克力支架、无酸材质底座及积木台）、说明牌制作、特种工艺印刷、场景复原模型及装置、动画及视频内容的设计、拍摄、录音与后期制作，以及多媒体设备租赁、安装调试与展期运营维护等。</w:t>
            </w:r>
          </w:p>
          <w:p w14:paraId="7CC5C6D8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6.文物展柜采购及制作要求</w:t>
            </w:r>
          </w:p>
          <w:p w14:paraId="30DCAE74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（1）须遵循以下标准：</w:t>
            </w:r>
          </w:p>
          <w:p w14:paraId="63FA0561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GB/T 36111-2018《文物展柜基本技术要求及检测》</w:t>
            </w:r>
          </w:p>
          <w:p w14:paraId="6546F3D0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GB/T 36110-2018《文物展柜密封性能及检测》</w:t>
            </w:r>
          </w:p>
          <w:p w14:paraId="6FE3F024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WW/T 0109-2020《馆藏文物展藏多功能展柜技术要求》</w:t>
            </w:r>
          </w:p>
          <w:p w14:paraId="7F3FFB6E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WW/T 0069-2015《馆藏文物防震规范》</w:t>
            </w:r>
          </w:p>
          <w:p w14:paraId="0DBE2458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GB/T 23863-2024《博物馆照明设计规范》（柜内部分）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（2）具体技术参数与要求：</w:t>
            </w:r>
          </w:p>
          <w:p w14:paraId="50422D97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a.结构承载：展台板承载能力≥200kg（个别承载能力≥300kg），整体稳固抗震。</w:t>
            </w:r>
          </w:p>
          <w:p w14:paraId="34FACB2D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b.材质与颜色：墙柜内部材料（含底座）采用环保无酸材料，甲醛释放量达到E0级，颜色以深色哑光为宜，避免反光干扰。</w:t>
            </w:r>
          </w:p>
          <w:p w14:paraId="7C531DF4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c.玻璃：采用6mm+6mm超白双面钢化夹胶玻璃，PVB胶层厚度≥0.76mm，整体可见光透光率≥90%，可见光反射率≤3%，具备防爆及抗紫外线功能。</w:t>
            </w:r>
          </w:p>
          <w:p w14:paraId="2C3DDCDB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d.柜内照明：须针对展品（如铜鼓鼓腰、鼓足）设置专项补光；照度建议100～200lx，显色指数Ra≥97、R9≥95，色温3200K～3500K；灯具支持0～100%无级调光；紫外线相对含量≤10μW/lm，须滤除红外辐射以控制温升；柜内线路全部隐藏，安全无外露。</w:t>
            </w:r>
          </w:p>
          <w:p w14:paraId="43C814C7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e.灯具调节：单灯功率1W～12W可适配，水平360°旋转、垂直90°旋转，安装牢固且便于维护。</w:t>
            </w:r>
          </w:p>
          <w:p w14:paraId="1FF026C5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f.微环境与密封：柜体气密性换气率须符合相关标准,开启方式便捷。</w:t>
            </w:r>
          </w:p>
          <w:p w14:paraId="1179FF78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g.整体性能：密闭良好，无有害气体释放，并通过第三方检测。柜内温升控制在≤2℃。</w:t>
            </w:r>
          </w:p>
          <w:p w14:paraId="18B1C08A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7.文物照明采购及制作要求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（1）遵循GB/T 23863-2024，并提供灯具检测报告。</w:t>
            </w:r>
          </w:p>
          <w:p w14:paraId="7D6A88D4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（2）具体技术参数与要求：</w:t>
            </w:r>
          </w:p>
          <w:p w14:paraId="199D5266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a.照度与光色：展品表面照度100～300lx（对光敏感文物可下调），b.显色指数：Ra≥95、R9≥90，色温3000K～4000K。</w:t>
            </w:r>
          </w:p>
          <w:p w14:paraId="2D120B02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c.光束角：可调光束角12°～30°，调节便捷。</w:t>
            </w:r>
          </w:p>
          <w:p w14:paraId="7578003F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d.功率与散热：灯具功率12W～48W，须采用被动散热设计，正常工作时灯具外表面最高温度≤38℃。</w:t>
            </w:r>
          </w:p>
          <w:p w14:paraId="7E4EB67B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e.防眩与控光：须配备蜂窝网、防眩格栅或微透镜阵列等附件，遮光角≥38°，统一眩光值UGR≤19。</w:t>
            </w:r>
          </w:p>
          <w:p w14:paraId="2119DAEE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f.紫外线控制：紫外线相对含量≤10μW/lm。</w:t>
            </w:r>
          </w:p>
          <w:p w14:paraId="1CEC4B9D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g.调光与适配：灯具支持0～100%平滑调光；采用博物馆专用轨道及安全接驳器。</w:t>
            </w:r>
          </w:p>
          <w:p w14:paraId="1D304CD6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i.寿命与维护：灯具额定寿命L70≥25000小时，并提供常用备件。</w:t>
            </w:r>
          </w:p>
          <w:p w14:paraId="43410F34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8.图文版面与说明牌</w:t>
            </w:r>
          </w:p>
          <w:p w14:paraId="6FA40D4A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供应商负责图文版面的内容排版、视觉设计及制作，文物说明牌采用耐久、防眩、易洁材质（如哑光亚克力或金属蚀刻），文字信息须中英文对照。展览英文翻译须由具备专业资质的英文审校人员完成，确保准确规范。所有版面及说明牌设计稿须经采购人审核确认。</w:t>
            </w:r>
          </w:p>
          <w:p w14:paraId="4AD1EA19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9.材料与施工工艺</w:t>
            </w:r>
          </w:p>
          <w:p w14:paraId="2256E712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供应商须熟悉博物馆展陈工艺，施工质量精良，注重细节处理。所有进场材料须为绿色环保产品，提供国家认可检测机构出具的甲醛、VOC释放量等检测报告，符合GB 18580等标准。装修材料燃烧性能等级须满足GB 50222《建筑内部装修设计防火规范》：吊顶及重要结构应为A级，其余不低于B1级；木质材料须经防火处理并出示标识。施工期间须采取降尘、降噪及成品地面保护措施。</w:t>
            </w:r>
          </w:p>
          <w:p w14:paraId="599A9092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10.多媒体内容及设备</w:t>
            </w:r>
          </w:p>
          <w:p w14:paraId="2B27AB7E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供应商承担多媒体系统的深化设计、设备租赁、安装调试及展期运维。须租赁并安装高清工程投影仪六至八台（亮度≥6000ANSI流明，分辨率≥1920×1200，支持几何校正与边缘融合；动画设计使用），配套视频播放设备四台（支持自动连续播放、断电重启；视频播放使用），并配置相应的音响系统（采用定向音箱或聚音罩避免声场干扰）、中控服务器及线缆辅材。动画设计和视频内容制作包含前期策划、脚本撰写、高清拍摄、专业配音及后期剪辑包装，分辨率不低于4K，成品经采购人审核后交付。整个多媒体系统须支持定时开关和集中控制，确保展期稳定运行。</w:t>
            </w:r>
          </w:p>
          <w:p w14:paraId="45F05406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11.布展实施要求</w:t>
            </w:r>
          </w:p>
          <w:p w14:paraId="1D0AAF2E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供应商应具备文物及艺术品布展经验，配备经过专业培训的布展人员。布展现场须驻有一名金属展架制作技工（可进行现场测量、焊接及打磨，动火作业须报批并配备灭火器材）和一名积木台加工技工（可现场加工无酸纸板、木板或亚克力文物底座和辅助支撑）。供应商须提供布展所需全部工具及安全防护装备，包括鱼线、剪刀、洁净手套、无酸绵纸及防震缓冲材料等，确保文物绝对安全。</w:t>
            </w:r>
          </w:p>
          <w:p w14:paraId="5B05EC3E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12.网上展览与宣传推广</w:t>
            </w:r>
          </w:p>
          <w:p w14:paraId="58C3537A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供应商须完成线上展览的设计与开发，包括：博物院官网PC端在线展览（基于实地采集的VR虚拟360°全景展示，含热点交互、图文展示等）；博物院微信公众号手机端适配线上展；制作一条不少于90秒的展览回顾视频（含解说、字幕及配乐）。展览信息预告图文内容须经采购人审核，并在官方渠道发布一次以上。供应商须全力配合布撤展及宣传推广工作，所有线上内容须保证展期内平稳访问。</w:t>
            </w:r>
          </w:p>
          <w:p w14:paraId="6DDF8048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12.其他宣传制作</w:t>
            </w:r>
          </w:p>
          <w:p w14:paraId="485B8549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包含文物陈列楼外立面巨幅海报二幅（尺寸4m×11m，户外高精度喷绘（含基座，可现场勘察，抗UV防水，安装方案须含结构安全计算并符合防风要求），外立面安装不得破坏楼体结构，所有宣传物料采用可清除材料，展览结束后须恢复原貌。</w:t>
            </w:r>
          </w:p>
          <w:p w14:paraId="05D40342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13.撤展与恢复</w:t>
            </w:r>
          </w:p>
          <w:p w14:paraId="056D34E8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供应商须按采购人要求，在规定时间内完成所有临时展览设施的拆除、垃圾清运及场地恢复工作。拆除过程须保护展厅原有建筑及设施，对建筑表面残留物进行专业清理，确保恢复至展前状态，并经采购人验收合格。外立面海报及招贴等须同步清除回收，杜绝遗留。</w:t>
            </w:r>
          </w:p>
          <w:p w14:paraId="7BF2463B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14.展期维护与备件</w:t>
            </w:r>
          </w:p>
          <w:p w14:paraId="08EAC911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供应商须在展期内提供维保服务，并承诺24小时应急响应，接到故障通知后6小时内到达现场处理。须备置关键易损件（如灯具、投影灯泡、播放设备备机等），确保各类设备及展陈设施始终处于良好运行状态。</w:t>
            </w:r>
          </w:p>
          <w:p w14:paraId="74BFB848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15.知识产权与保密</w:t>
            </w:r>
          </w:p>
          <w:p w14:paraId="661DFE56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供应商须保证所提交的全部设计成果、多媒体内容、线上展览等不侵犯第三方知识产权。所有为本次展览专门制作的设计文件、视频、程序及其他成果，其著作权及其他知识产权在采购人付清合同款项后，全部归采购人所有，供应商享有署名权。供应商须对展览涉及的所有文物信息、数据及资料承担保密义务，未经许可不得外泄或另作他用。</w:t>
            </w:r>
          </w:p>
          <w:p w14:paraId="6131251A">
            <w:pPr>
              <w:pStyle w:val="4"/>
              <w:ind w:firstLine="480"/>
            </w:pPr>
            <w:r>
              <w:rPr>
                <w:rFonts w:ascii="仿宋_GB2312" w:hAnsi="仿宋_GB2312" w:eastAsia="仿宋_GB2312" w:cs="仿宋_GB2312"/>
                <w:sz w:val="21"/>
              </w:rPr>
              <w:t>16.人员资质与安全</w:t>
            </w:r>
          </w:p>
          <w:p w14:paraId="24742CAB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项目经理具备博物馆展陈工程管理经验。施工人员须持证上岗，特种作业人员须持有有效操作证。布展及施工全过程须符合安全生产及消防法规，供应商须为现场人员购买相应保险，并承担全部安全责任。</w:t>
            </w:r>
          </w:p>
        </w:tc>
      </w:tr>
      <w:tr w14:paraId="577935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 w14:paraId="75D5B1C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329" w:type="dxa"/>
          </w:tcPr>
          <w:p w14:paraId="72D617B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6020" w:type="dxa"/>
          </w:tcPr>
          <w:p w14:paraId="79D8288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三、工期：50日历天</w:t>
            </w:r>
          </w:p>
          <w:p w14:paraId="0CF17AFB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四、施工地点：秦始皇帝陵博物院陈列厅</w:t>
            </w:r>
          </w:p>
          <w:p w14:paraId="2EE65ED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五、质保期：自竣工验收合格之日起至展览结束</w:t>
            </w:r>
          </w:p>
        </w:tc>
      </w:tr>
      <w:tr w14:paraId="41D73D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 w14:paraId="4C834BF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1329" w:type="dxa"/>
          </w:tcPr>
          <w:p w14:paraId="1A8B55B3"/>
        </w:tc>
        <w:tc>
          <w:tcPr>
            <w:tcW w:w="6020" w:type="dxa"/>
          </w:tcPr>
          <w:p w14:paraId="7C01AAC4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展厅平面图（后附）</w:t>
            </w:r>
          </w:p>
          <w:p w14:paraId="3DB61048">
            <w:pPr>
              <w:pStyle w:val="4"/>
            </w:pPr>
            <w:bookmarkStart w:id="0" w:name="_GoBack"/>
            <w:r>
              <w:drawing>
                <wp:inline distT="0" distB="0" distL="0" distR="0">
                  <wp:extent cx="1621155" cy="2294255"/>
                  <wp:effectExtent l="0" t="0" r="17145" b="10795"/>
                  <wp:docPr id="1" name="Drawing 1" descr="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rawing 1" descr="img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155" cy="2294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14:paraId="038BA0D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F67B5F"/>
    <w:rsid w:val="68F6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2026-07-20T10:13:00Z</dcterms:created>
  <dc:creator>徐闫靖双</dc:creator>
  <cp:lastModifiedBy>徐闫靖双</cp:lastModifiedBy>
  <dcterms:modified xsi:type="dcterms:W3CDTF">2026-07-20T10:13:40Z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DE78439BBE354FC3A180F4FBE50E5558_11</vt:lpwstr>
  </property>
  <property fmtid="{D5CDD505-2E9C-101B-9397-08002B2CF9AE}" pid="4" name="KSOTemplateDocerSaveRecord">
    <vt:lpwstr>eyJoZGlkIjoiYzA1MTFjMGE5NjMwY2U1ODU1MGFhN2UxMjk1NDdlZjEiLCJ1c2VySWQiOiI0NTE5NDQwNTQifQ==</vt:lpwstr>
  </property>
</Properties>
</file>