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BC798">
      <w:pPr>
        <w:keepLines w:val="0"/>
        <w:pageBreakBefore w:val="0"/>
        <w:widowControl w:val="0"/>
        <w:kinsoku/>
        <w:wordWrap/>
        <w:overflowPunct/>
        <w:topLinePunct w:val="0"/>
        <w:bidi w:val="0"/>
        <w:adjustRightInd w:val="0"/>
        <w:snapToGrid w:val="0"/>
        <w:spacing w:line="480" w:lineRule="exact"/>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（本格式条款供采购人和成交供应商双方签订合同参考，最终以采购人实际签订的合同为准）</w:t>
      </w:r>
    </w:p>
    <w:p w14:paraId="65AF9779">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甲方（采购人）：</w:t>
      </w:r>
      <w:r>
        <w:rPr>
          <w:rFonts w:hint="eastAsia" w:ascii="仿宋" w:hAnsi="仿宋" w:eastAsia="仿宋" w:cs="仿宋"/>
          <w:bCs/>
          <w:i w:val="0"/>
          <w:iCs w:val="0"/>
          <w:color w:val="auto"/>
          <w:sz w:val="28"/>
          <w:szCs w:val="28"/>
          <w:u w:val="single"/>
          <w:lang w:eastAsia="zh-CN"/>
        </w:rPr>
        <w:t>陕西省勉县中医院</w:t>
      </w:r>
      <w:r>
        <w:rPr>
          <w:rFonts w:hint="eastAsia" w:ascii="仿宋" w:hAnsi="仿宋" w:eastAsia="仿宋" w:cs="仿宋"/>
          <w:bCs/>
          <w:i w:val="0"/>
          <w:iCs w:val="0"/>
          <w:color w:val="auto"/>
          <w:sz w:val="28"/>
          <w:szCs w:val="28"/>
          <w:u w:val="single"/>
          <w:lang w:val="en-US" w:eastAsia="zh-CN"/>
        </w:rPr>
        <w:t xml:space="preserve">     </w:t>
      </w:r>
      <w:r>
        <w:rPr>
          <w:rFonts w:hint="eastAsia" w:ascii="仿宋" w:hAnsi="仿宋" w:eastAsia="仿宋" w:cs="仿宋"/>
          <w:bCs/>
          <w:color w:val="auto"/>
          <w:sz w:val="28"/>
          <w:szCs w:val="28"/>
        </w:rPr>
        <w:t>乙方（</w:t>
      </w:r>
      <w:r>
        <w:rPr>
          <w:rFonts w:hint="eastAsia" w:ascii="仿宋" w:hAnsi="仿宋" w:eastAsia="仿宋" w:cs="仿宋"/>
          <w:bCs/>
          <w:color w:val="auto"/>
          <w:sz w:val="28"/>
          <w:szCs w:val="28"/>
          <w:lang w:eastAsia="zh-CN"/>
        </w:rPr>
        <w:t>成交供应商</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 xml:space="preserve"> </w:t>
      </w:r>
    </w:p>
    <w:p w14:paraId="06C74A6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highlight w:val="none"/>
          <w:u w:val="single"/>
          <w:lang w:eastAsia="zh-CN"/>
        </w:rPr>
        <w:t>陕西省勉县中医院检验一体化能力提升项目（</w:t>
      </w:r>
      <w:r>
        <w:rPr>
          <w:rFonts w:hint="eastAsia" w:ascii="仿宋" w:hAnsi="仿宋" w:eastAsia="仿宋" w:cs="仿宋"/>
          <w:bCs/>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JHZB-2026-020</w:t>
      </w:r>
      <w:r>
        <w:rPr>
          <w:rFonts w:hint="eastAsia" w:ascii="仿宋" w:hAnsi="仿宋" w:eastAsia="仿宋" w:cs="仿宋"/>
          <w:color w:val="auto"/>
          <w:sz w:val="28"/>
          <w:szCs w:val="28"/>
          <w:highlight w:val="none"/>
          <w:lang w:val="en-US" w:eastAsia="zh-CN"/>
        </w:rPr>
        <w:t>）</w:t>
      </w:r>
      <w:r>
        <w:rPr>
          <w:rFonts w:hint="eastAsia" w:ascii="仿宋" w:hAnsi="仿宋" w:eastAsia="仿宋" w:cs="仿宋"/>
          <w:bCs/>
          <w:color w:val="auto"/>
          <w:sz w:val="28"/>
          <w:szCs w:val="28"/>
          <w:highlight w:val="none"/>
        </w:rPr>
        <w:t>在由</w:t>
      </w:r>
      <w:r>
        <w:rPr>
          <w:rFonts w:hint="eastAsia" w:ascii="仿宋" w:hAnsi="仿宋" w:eastAsia="仿宋" w:cs="仿宋"/>
          <w:bCs/>
          <w:color w:val="auto"/>
          <w:sz w:val="28"/>
          <w:szCs w:val="28"/>
          <w:lang w:eastAsia="zh-CN"/>
        </w:rPr>
        <w:t>陕西璟辉项目管理有限公司</w:t>
      </w:r>
      <w:r>
        <w:rPr>
          <w:rFonts w:hint="eastAsia" w:ascii="仿宋" w:hAnsi="仿宋" w:eastAsia="仿宋" w:cs="仿宋"/>
          <w:bCs/>
          <w:color w:val="auto"/>
          <w:sz w:val="28"/>
          <w:szCs w:val="28"/>
        </w:rPr>
        <w:t>组织</w:t>
      </w:r>
      <w:r>
        <w:rPr>
          <w:rFonts w:hint="eastAsia" w:ascii="仿宋" w:hAnsi="仿宋" w:eastAsia="仿宋" w:cs="仿宋"/>
          <w:bCs/>
          <w:color w:val="auto"/>
          <w:sz w:val="28"/>
          <w:szCs w:val="28"/>
          <w:lang w:val="en-US" w:eastAsia="zh-CN"/>
        </w:rPr>
        <w:t>公开招标</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eastAsia="zh-CN"/>
        </w:rPr>
        <w:t>陕西省勉县中医院</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eastAsia="zh-CN"/>
        </w:rPr>
        <w:t>（</w:t>
      </w:r>
      <w:r>
        <w:rPr>
          <w:rFonts w:hint="eastAsia" w:ascii="仿宋" w:hAnsi="仿宋" w:eastAsia="仿宋" w:cs="仿宋"/>
          <w:bCs/>
          <w:color w:val="auto"/>
          <w:sz w:val="28"/>
          <w:szCs w:val="28"/>
        </w:rPr>
        <w:t>以下简称“甲方”</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确定</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（以下简称“乙方”）为的</w:t>
      </w:r>
      <w:r>
        <w:rPr>
          <w:rFonts w:hint="eastAsia" w:ascii="仿宋" w:hAnsi="仿宋" w:eastAsia="仿宋" w:cs="仿宋"/>
          <w:bCs/>
          <w:color w:val="auto"/>
          <w:sz w:val="28"/>
          <w:szCs w:val="28"/>
          <w:lang w:eastAsia="zh-CN"/>
        </w:rPr>
        <w:t>成交供应商</w:t>
      </w:r>
      <w:r>
        <w:rPr>
          <w:rFonts w:hint="eastAsia" w:ascii="仿宋" w:hAnsi="仿宋" w:eastAsia="仿宋" w:cs="仿宋"/>
          <w:bCs/>
          <w:color w:val="auto"/>
          <w:sz w:val="28"/>
          <w:szCs w:val="28"/>
        </w:rPr>
        <w:t>。</w:t>
      </w:r>
    </w:p>
    <w:p w14:paraId="6DA75A2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依据《中华人民共和国</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》和《中华人民共和国政府采购法》，经双方协商按下述条款和条件签署本合同。</w:t>
      </w:r>
    </w:p>
    <w:p w14:paraId="46CDD032">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一、合同价款</w:t>
      </w:r>
    </w:p>
    <w:p w14:paraId="4741904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（一）合同总价款为人民币（大写）</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w:t>
      </w:r>
    </w:p>
    <w:p w14:paraId="63C40C2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（二）合同总价包括：产品供应费、运输费（含保险费）、检测验收费、税金</w:t>
      </w:r>
      <w:r>
        <w:rPr>
          <w:rFonts w:hint="eastAsia" w:ascii="仿宋" w:hAnsi="仿宋" w:eastAsia="仿宋" w:cs="仿宋"/>
          <w:bCs/>
          <w:color w:val="auto"/>
          <w:sz w:val="28"/>
          <w:szCs w:val="28"/>
          <w:lang w:eastAsia="zh-CN"/>
        </w:rPr>
        <w:t>及其他</w:t>
      </w:r>
      <w:r>
        <w:rPr>
          <w:rFonts w:hint="eastAsia" w:ascii="仿宋" w:hAnsi="仿宋" w:eastAsia="仿宋" w:cs="仿宋"/>
          <w:bCs/>
          <w:color w:val="auto"/>
          <w:sz w:val="28"/>
          <w:szCs w:val="28"/>
        </w:rPr>
        <w:t>费用。</w:t>
      </w:r>
    </w:p>
    <w:p w14:paraId="5797059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（三）合同总价一次性包死，不受市场价格变化因素的影响。</w:t>
      </w:r>
      <w:r>
        <w:rPr>
          <w:rFonts w:hint="eastAsia" w:ascii="仿宋" w:hAnsi="仿宋" w:eastAsia="仿宋" w:cs="仿宋"/>
          <w:bCs/>
          <w:color w:val="auto"/>
          <w:sz w:val="28"/>
          <w:szCs w:val="28"/>
          <w:lang w:eastAsia="zh-CN"/>
        </w:rPr>
        <w:t>（</w:t>
      </w:r>
      <w:r>
        <w:rPr>
          <w:rFonts w:ascii="宋体" w:hAnsi="宋体" w:eastAsia="宋体" w:cs="宋体"/>
          <w:sz w:val="24"/>
          <w:szCs w:val="24"/>
        </w:rPr>
        <w:t>若</w:t>
      </w:r>
      <w:r>
        <w:rPr>
          <w:rFonts w:hint="eastAsia" w:ascii="仿宋" w:hAnsi="仿宋" w:eastAsia="仿宋" w:cs="仿宋"/>
          <w:bCs/>
          <w:color w:val="auto"/>
          <w:sz w:val="28"/>
          <w:szCs w:val="28"/>
        </w:rPr>
        <w:t>本项目所涉检验试剂后续纳入国家医用耗材集中带量采购范围，供货价格、履约要求、供应规则等均严格按照国家集采现行相关政策文件、中选结果及规定价格标准执行，自动执行集采中选限价，不再执行本合同原约定单价</w:t>
      </w:r>
      <w:r>
        <w:rPr>
          <w:rFonts w:hint="eastAsia" w:ascii="仿宋" w:hAnsi="仿宋" w:eastAsia="仿宋" w:cs="仿宋"/>
          <w:bCs/>
          <w:color w:val="auto"/>
          <w:sz w:val="28"/>
          <w:szCs w:val="28"/>
          <w:lang w:eastAsia="zh-CN"/>
        </w:rPr>
        <w:t>）。</w:t>
      </w:r>
    </w:p>
    <w:p w14:paraId="1B87F0D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kern w:val="2"/>
          <w:sz w:val="28"/>
          <w:szCs w:val="28"/>
          <w:lang w:val="en-US" w:eastAsia="zh-CN" w:bidi="ar-SA"/>
        </w:rPr>
      </w:pPr>
      <w:r>
        <w:rPr>
          <w:rFonts w:hint="eastAsia" w:ascii="仿宋" w:hAnsi="仿宋" w:eastAsia="仿宋" w:cs="仿宋"/>
          <w:bCs/>
          <w:color w:val="auto"/>
          <w:kern w:val="2"/>
          <w:sz w:val="28"/>
          <w:szCs w:val="28"/>
          <w:lang w:val="en-US" w:eastAsia="zh-CN" w:bidi="ar-SA"/>
        </w:rPr>
        <w:t>本次报价为固定总价包干，涵盖设备交付使用全部费用，供货范围一并包含设备运行所需配套常规通用消耗品、易耗辅材。</w:t>
      </w:r>
    </w:p>
    <w:p w14:paraId="285984C5">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Cs/>
          <w:color w:val="auto"/>
          <w:sz w:val="28"/>
          <w:szCs w:val="28"/>
        </w:rPr>
      </w:pPr>
      <w:r>
        <w:rPr>
          <w:rFonts w:hint="eastAsia" w:ascii="仿宋" w:hAnsi="仿宋" w:eastAsia="仿宋" w:cs="仿宋"/>
          <w:b/>
          <w:bCs/>
          <w:color w:val="auto"/>
          <w:sz w:val="28"/>
          <w:szCs w:val="28"/>
        </w:rPr>
        <w:t>二、产品清单</w:t>
      </w:r>
    </w:p>
    <w:p w14:paraId="7C4E256A">
      <w:pPr>
        <w:pageBreakBefore w:val="0"/>
        <w:widowControl w:val="0"/>
        <w:kinsoku/>
        <w:wordWrap/>
        <w:overflowPunct/>
        <w:topLinePunct w:val="0"/>
        <w:bidi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三、款项结算</w:t>
      </w:r>
    </w:p>
    <w:p w14:paraId="17DB202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1、结算单位：采购人结算，在付款前必须开具等额发票给采购人。</w:t>
      </w:r>
    </w:p>
    <w:p w14:paraId="5232731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2、付款方式：</w:t>
      </w:r>
    </w:p>
    <w:p w14:paraId="30EF0AF1">
      <w:pPr>
        <w:keepNext w:val="0"/>
        <w:keepLines w:val="0"/>
        <w:widowControl/>
        <w:suppressLineNumbers w:val="0"/>
        <w:ind w:firstLine="281" w:firstLineChars="100"/>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包1：</w:t>
      </w:r>
      <w:r>
        <w:rPr>
          <w:rFonts w:hint="eastAsia" w:ascii="仿宋" w:hAnsi="仿宋" w:eastAsia="仿宋" w:cs="仿宋"/>
          <w:kern w:val="2"/>
          <w:sz w:val="28"/>
          <w:szCs w:val="28"/>
          <w:highlight w:val="none"/>
          <w:lang w:val="en-US" w:eastAsia="zh-CN" w:bidi="ar-SA"/>
        </w:rPr>
        <w:t>（1）预付款，合同签订后，达到付款条件起10个工作日内，支付合同总金额的40.0%</w:t>
      </w:r>
    </w:p>
    <w:p w14:paraId="532CCCE5">
      <w:pPr>
        <w:keepNext w:val="0"/>
        <w:keepLines w:val="0"/>
        <w:widowControl/>
        <w:suppressLineNumbers w:val="0"/>
        <w:ind w:firstLine="280" w:firstLineChars="100"/>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（2）进度款，安装、调试完毕并验收合格后，达到付款条件起10个工作日内，支付合同总金额的60.0% </w:t>
      </w:r>
    </w:p>
    <w:p w14:paraId="563D2051">
      <w:pPr>
        <w:pageBreakBefore w:val="0"/>
        <w:widowControl w:val="0"/>
        <w:kinsoku/>
        <w:wordWrap/>
        <w:overflowPunct/>
        <w:topLinePunct w:val="0"/>
        <w:autoSpaceDE w:val="0"/>
        <w:autoSpaceDN w:val="0"/>
        <w:bidi w:val="0"/>
        <w:adjustRightInd w:val="0"/>
        <w:spacing w:line="480" w:lineRule="exact"/>
        <w:ind w:firstLine="280" w:firstLineChars="1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）支付方式：银行转账。</w:t>
      </w:r>
    </w:p>
    <w:p w14:paraId="7AD0955C">
      <w:pPr>
        <w:keepNext w:val="0"/>
        <w:keepLines w:val="0"/>
        <w:widowControl/>
        <w:suppressLineNumbers w:val="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包2：</w:t>
      </w:r>
      <w:r>
        <w:rPr>
          <w:rFonts w:hint="eastAsia" w:ascii="仿宋" w:hAnsi="仿宋" w:eastAsia="仿宋" w:cs="仿宋"/>
          <w:kern w:val="2"/>
          <w:sz w:val="28"/>
          <w:szCs w:val="28"/>
          <w:highlight w:val="none"/>
          <w:lang w:val="en-US" w:eastAsia="zh-CN" w:bidi="ar-SA"/>
        </w:rPr>
        <w:t xml:space="preserve">进度款，货到后由采购人验收，验收合格后办理入库手续并签字确认。货物每季度据实结算，每季度供货满足结算要求时，结算当季度合同供货款 ，达到付款条件起30个工作日内，支付合同总金额的100.0% </w:t>
      </w:r>
    </w:p>
    <w:p w14:paraId="32676999">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四、双方的权利和义务</w:t>
      </w:r>
    </w:p>
    <w:p w14:paraId="5D082B7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（一）甲方的权利和义务</w:t>
      </w:r>
    </w:p>
    <w:p w14:paraId="6D742FF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1、甲方保证提供给乙方的资料、信息内容合法，不侵犯第三方的合法权益。如因甲方原因致使乙方遭受第三方追诉的，甲方在其过错范围内承担由此给乙方造成的损失，并承担违约责任。</w:t>
      </w:r>
    </w:p>
    <w:p w14:paraId="3862A3D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2、由于乙方原因不能按合同约定履约，甲方有权扣留剩余款项，作为对甲方损失的赔偿，剩余款项已付或不足以赔偿甲方损失的，由乙方另行支付。</w:t>
      </w:r>
    </w:p>
    <w:p w14:paraId="58AE91B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（二）乙方的权利和义务</w:t>
      </w:r>
    </w:p>
    <w:p w14:paraId="00BA6E7A">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1、乙方保证在履行本合同过程中，不侵犯第三方的合法权益。如因乙方原因致使甲方遭受第三方追诉的，乙方应承担由此给甲方造成的全部损失，并承担违约责任。</w:t>
      </w:r>
    </w:p>
    <w:p w14:paraId="6A950B9B">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2、乙方按照本合同约定，在履行的过程中，不允许利用甲方提供的工作条件和相关资料进行与本项目无关的工作。如因乙方原因致使甲方遭受经济及法律追诉的，由乙方完全承担。</w:t>
      </w:r>
    </w:p>
    <w:p w14:paraId="4186D69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3、乙方必须对供货现场环境卫生、人员安全、生产安全、防火安全负全责。供货现场的各种活动须服从甲方相关部门的管理、监督，同时做好与其它人员的交叉作业及配合工作。</w:t>
      </w:r>
    </w:p>
    <w:p w14:paraId="61AA121D">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4、乙方必须加强对供货现场的安全监督、管理，对进入现场的易燃材料应指定专人管理，必要时派人驻守。对当日产生的易燃废料堆放到甲方指定区域，当日应及时清理，消除安全隐患。</w:t>
      </w:r>
    </w:p>
    <w:p w14:paraId="4B69FD3F">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5、乙方供货人员要安全文明供货，不准赤脚或穿高跟鞋、拖鞋进入供货场地；不得穿硬底鞋及带钉易打滑的鞋。</w:t>
      </w:r>
    </w:p>
    <w:p w14:paraId="05C5A2F9">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6、乙方供货人员要严防火灾，不准在禁止烟火的地方动用明火；要文明供货，不得在供货现场戏耍和打架斗殴。</w:t>
      </w:r>
    </w:p>
    <w:p w14:paraId="0E42BA7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7、由于乙方在供货过程中组织管理不当违反安全规程、消防安全条例发生安全或火灾事故所造成的安全责任事故、经济损失及人身伤亡，乙方承担全部责任，甲方概不负责。在供货中如发生事故造成甲方经济损失、人身损害，乙方承担全部责任。</w:t>
      </w:r>
    </w:p>
    <w:p w14:paraId="260A95D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8、乙方货物需在甲方指定地点有序堆放，垃圾或货物外包装应24小时内清理外运，严禁随意乱堆乱放，影响院内大环境及道路畅通。</w:t>
      </w:r>
    </w:p>
    <w:p w14:paraId="68FB0DB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乙方违反上述任意约定，均视为违约。甲方现场管理人员有权制止其行为并劝其离场，乙方应停止供货并整改（停止供货期间造成的损失由乙方自行承担）。每违反一次扣除合同最高执行总价的3%作为违约金，并承担由此造成的全部损失，累计超过3次的，视为乙方根本违约，甲方有权解除合同，合同自书面解除通知送达乙方之日解除，乙方应按照合同最高执行总价的30%承担违约金，若违约金不足以弥补甲方损失的，由乙方另行支付。</w:t>
      </w:r>
    </w:p>
    <w:p w14:paraId="2B314CE2">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w:t>
      </w:r>
      <w:r>
        <w:rPr>
          <w:rFonts w:hint="eastAsia" w:ascii="仿宋" w:hAnsi="仿宋" w:eastAsia="仿宋" w:cs="仿宋"/>
          <w:b/>
          <w:bCs/>
          <w:color w:val="auto"/>
          <w:sz w:val="28"/>
          <w:szCs w:val="28"/>
          <w:highlight w:val="none"/>
          <w:lang w:val="en-US" w:eastAsia="zh-CN"/>
        </w:rPr>
        <w:t>交货</w:t>
      </w:r>
      <w:r>
        <w:rPr>
          <w:rFonts w:hint="eastAsia" w:ascii="仿宋" w:hAnsi="仿宋" w:eastAsia="仿宋" w:cs="仿宋"/>
          <w:b/>
          <w:bCs/>
          <w:color w:val="auto"/>
          <w:sz w:val="28"/>
          <w:szCs w:val="28"/>
          <w:highlight w:val="none"/>
        </w:rPr>
        <w:t>要求：</w:t>
      </w:r>
    </w:p>
    <w:p w14:paraId="28E5E0E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包1：</w:t>
      </w:r>
    </w:p>
    <w:p w14:paraId="3B47C58C">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val="0"/>
          <w:color w:val="auto"/>
          <w:sz w:val="28"/>
          <w:szCs w:val="28"/>
          <w:highlight w:val="none"/>
        </w:rPr>
        <w:t>1、交货期：</w:t>
      </w:r>
      <w:r>
        <w:rPr>
          <w:rFonts w:hint="eastAsia" w:ascii="仿宋" w:hAnsi="仿宋" w:eastAsia="仿宋" w:cs="仿宋"/>
          <w:sz w:val="28"/>
          <w:szCs w:val="28"/>
          <w:highlight w:val="none"/>
          <w:lang w:eastAsia="zh-CN"/>
        </w:rPr>
        <w:t>合同签订后30个日历日内完成所有的供货。</w:t>
      </w:r>
    </w:p>
    <w:p w14:paraId="2BD13E7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2、交货地点：</w:t>
      </w:r>
      <w:r>
        <w:rPr>
          <w:rFonts w:hint="eastAsia" w:ascii="仿宋" w:hAnsi="仿宋" w:eastAsia="仿宋" w:cs="仿宋"/>
          <w:b w:val="0"/>
          <w:bCs w:val="0"/>
          <w:color w:val="auto"/>
          <w:sz w:val="28"/>
          <w:szCs w:val="28"/>
          <w:highlight w:val="none"/>
          <w:lang w:eastAsia="zh-CN"/>
        </w:rPr>
        <w:t>陕西省勉县中医院指定地点</w:t>
      </w:r>
    </w:p>
    <w:p w14:paraId="195B9D0B">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包2：</w:t>
      </w:r>
      <w:bookmarkStart w:id="0" w:name="_GoBack"/>
      <w:bookmarkEnd w:id="0"/>
    </w:p>
    <w:p w14:paraId="1A0405AA">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 xml:space="preserve">交货期：急需货物4小时内送达，一般货物3个日历天内送达。 </w:t>
      </w:r>
    </w:p>
    <w:p w14:paraId="4E0C82A7">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六、运输</w:t>
      </w:r>
    </w:p>
    <w:p w14:paraId="50D952FA">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（一）乙方负责所有产品的运输，确保采购产品安全、完整到达甲方指定地点。运杂费用已包含在合同总价内，包括从产品供应地点所含的运输费、装卸费、仓储费、保险费等。</w:t>
      </w:r>
    </w:p>
    <w:p w14:paraId="163E270F">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（二）运输方式由乙方自行选择，但必须保证按期交货所有采购货物在运输、搬运的过程中，造成甲方损失的，由乙方为甲方修复或更新。</w:t>
      </w:r>
    </w:p>
    <w:p w14:paraId="2752C56A">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七、质量保证</w:t>
      </w:r>
    </w:p>
    <w:p w14:paraId="4C6024BB">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1、保证技术指标先进、质量性能可靠、进货渠道正常，全面满足甲方要求。</w:t>
      </w:r>
    </w:p>
    <w:p w14:paraId="2D58CA2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2、符合国家有关规范要求。</w:t>
      </w:r>
    </w:p>
    <w:p w14:paraId="5B88AA67">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3、具有良好的外观和使用性能，适合所需科室的使用。五、合同实施</w:t>
      </w:r>
    </w:p>
    <w:p w14:paraId="608E47B2">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八、售后服务</w:t>
      </w:r>
    </w:p>
    <w:p w14:paraId="57B82A46">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1、技术服务承诺:乙方免费提供必要的技术支持，包括现场指导、集中授课、专项操作等。</w:t>
      </w:r>
    </w:p>
    <w:p w14:paraId="63489547">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2、售后服务承诺：甲方发现有质量或可能影响质量问题时，乙方接到通知后4小时内到达现场解决问题。</w:t>
      </w:r>
    </w:p>
    <w:p w14:paraId="3093A701">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九、技术与服务</w:t>
      </w:r>
    </w:p>
    <w:p w14:paraId="1A3A8D7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（一）技术资料：</w:t>
      </w:r>
    </w:p>
    <w:p w14:paraId="5D4142B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1.产品合格证；</w:t>
      </w:r>
    </w:p>
    <w:p w14:paraId="6644169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2.产品使用说明书（中文）； </w:t>
      </w:r>
    </w:p>
    <w:p w14:paraId="702FF955">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3.调试记录，测试报告；</w:t>
      </w:r>
    </w:p>
    <w:p w14:paraId="1D0C5050">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其他</w:t>
      </w:r>
      <w:r>
        <w:rPr>
          <w:rFonts w:hint="eastAsia" w:ascii="仿宋" w:hAnsi="仿宋" w:eastAsia="仿宋" w:cs="仿宋"/>
          <w:bCs/>
          <w:color w:val="auto"/>
          <w:sz w:val="28"/>
          <w:szCs w:val="28"/>
        </w:rPr>
        <w:t>资料等。</w:t>
      </w:r>
    </w:p>
    <w:p w14:paraId="2450F2B3">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（二）服务承诺：以</w:t>
      </w:r>
      <w:r>
        <w:rPr>
          <w:rFonts w:hint="eastAsia" w:ascii="仿宋" w:hAnsi="仿宋" w:eastAsia="仿宋" w:cs="仿宋"/>
          <w:bCs/>
          <w:color w:val="auto"/>
          <w:sz w:val="28"/>
          <w:szCs w:val="28"/>
          <w:lang w:val="en-US" w:eastAsia="zh-CN"/>
        </w:rPr>
        <w:t>磋商</w:t>
      </w:r>
      <w:r>
        <w:rPr>
          <w:rFonts w:hint="eastAsia" w:ascii="仿宋" w:hAnsi="仿宋" w:eastAsia="仿宋" w:cs="仿宋"/>
          <w:bCs/>
          <w:color w:val="auto"/>
          <w:sz w:val="28"/>
          <w:szCs w:val="28"/>
        </w:rPr>
        <w:t>文件、澄清表、合同和随产品的相关文件为准，但至少应包括：</w:t>
      </w:r>
    </w:p>
    <w:p w14:paraId="444AE98B">
      <w:pPr>
        <w:pStyle w:val="6"/>
        <w:pageBreakBefore w:val="0"/>
        <w:widowControl w:val="0"/>
        <w:kinsoku/>
        <w:wordWrap/>
        <w:overflowPunct/>
        <w:topLinePunct w:val="0"/>
        <w:bidi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派专人对所供产品提供售后服务，并每月定期对所供产品进行巡检，做好巡检记录。</w:t>
      </w:r>
    </w:p>
    <w:p w14:paraId="37FA2D0B">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十、违约责任</w:t>
      </w:r>
    </w:p>
    <w:p w14:paraId="63D68091">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（一）按《</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》中的相关条款执行。</w:t>
      </w:r>
    </w:p>
    <w:p w14:paraId="305E6D41">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（二）乙方工期每超过一天，扣除乙方合同总价款的0.2%，迟交产品超过30天，甲方有权拒收产品。</w:t>
      </w:r>
    </w:p>
    <w:p w14:paraId="74F69A4D">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按合同要求提供产品或产品质量不能满足采购技术要求，乙方必须无条件更换产品，提高技术，完善质量，否则，甲方会同监督机构、采购代理机构有权终止合同并对乙方违约行为进行追究，同时按政府采购供应商管理办法进行相应的处罚。</w:t>
      </w:r>
    </w:p>
    <w:p w14:paraId="5D2A5206">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（四）任何一方因不可抗力原因不能履行协议时，应尽快通知对方，双方均设法补偿。如仍无法履约协议，可协商延缓或撤销协议，双方责任免除。</w:t>
      </w:r>
    </w:p>
    <w:p w14:paraId="487D495F">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十一、验收</w:t>
      </w:r>
    </w:p>
    <w:p w14:paraId="6C38BF9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货物到货后，乙方在甲方在场的情况下，按照本项目采购文件及合同要求进行验收自检，双方签字确认。产品严格执行国家行业标准，每批次送货时根据甲方要求提供批号、质检报告，出现质量问题及时退换货，并对其造成的影响进行处罚。若乙方交付货物验收不合格累计超过3次的，甲方有权选择解除合同，若合同解除，乙方应按照本协议违约责任第（二）款承担违约责任。若因乙方项目货物验收不合格导致乙方货物交付延期的，乙方应按本合同违约责任第（三）款承担违约责任。</w:t>
      </w:r>
    </w:p>
    <w:p w14:paraId="48DEF88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（二）验收依据</w:t>
      </w:r>
    </w:p>
    <w:p w14:paraId="7D034129">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w:t>
      </w:r>
      <w:r>
        <w:rPr>
          <w:rFonts w:hint="eastAsia" w:ascii="仿宋" w:hAnsi="仿宋" w:eastAsia="仿宋" w:cs="仿宋"/>
          <w:bCs/>
          <w:color w:val="auto"/>
          <w:sz w:val="28"/>
          <w:szCs w:val="28"/>
          <w:lang w:val="en-US" w:eastAsia="zh-CN"/>
        </w:rPr>
        <w:t>竞争性磋商</w:t>
      </w:r>
      <w:r>
        <w:rPr>
          <w:rFonts w:hint="eastAsia" w:ascii="仿宋" w:hAnsi="仿宋" w:eastAsia="仿宋" w:cs="仿宋"/>
          <w:bCs/>
          <w:color w:val="auto"/>
          <w:sz w:val="28"/>
          <w:szCs w:val="28"/>
        </w:rPr>
        <w:t>文件、</w:t>
      </w:r>
      <w:r>
        <w:rPr>
          <w:rFonts w:hint="eastAsia" w:ascii="仿宋" w:hAnsi="仿宋" w:eastAsia="仿宋" w:cs="仿宋"/>
          <w:bCs/>
          <w:color w:val="auto"/>
          <w:sz w:val="28"/>
          <w:szCs w:val="28"/>
          <w:lang w:val="en-US" w:eastAsia="zh-CN"/>
        </w:rPr>
        <w:t>磋商响应</w:t>
      </w:r>
      <w:r>
        <w:rPr>
          <w:rFonts w:hint="eastAsia" w:ascii="仿宋" w:hAnsi="仿宋" w:eastAsia="仿宋" w:cs="仿宋"/>
          <w:bCs/>
          <w:color w:val="auto"/>
          <w:sz w:val="28"/>
          <w:szCs w:val="28"/>
        </w:rPr>
        <w:t>文件、澄清表（函）、</w:t>
      </w:r>
      <w:r>
        <w:rPr>
          <w:rFonts w:hint="eastAsia" w:ascii="仿宋" w:hAnsi="仿宋" w:eastAsia="仿宋" w:cs="仿宋"/>
          <w:bCs/>
          <w:color w:val="auto"/>
          <w:sz w:val="28"/>
          <w:szCs w:val="28"/>
          <w:lang w:val="en-US" w:eastAsia="zh-CN"/>
        </w:rPr>
        <w:t>成交</w:t>
      </w:r>
      <w:r>
        <w:rPr>
          <w:rFonts w:hint="eastAsia" w:ascii="仿宋" w:hAnsi="仿宋" w:eastAsia="仿宋" w:cs="仿宋"/>
          <w:bCs/>
          <w:color w:val="auto"/>
          <w:sz w:val="28"/>
          <w:szCs w:val="28"/>
        </w:rPr>
        <w:t>通知书；</w:t>
      </w:r>
    </w:p>
    <w:p w14:paraId="0227BF0D">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2、本合同及附件文本；</w:t>
      </w:r>
    </w:p>
    <w:p w14:paraId="79695DA0">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3、国家相应的标准、规范；</w:t>
      </w:r>
    </w:p>
    <w:p w14:paraId="016DF487">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4、使用说明书（中文）；</w:t>
      </w:r>
    </w:p>
    <w:p w14:paraId="1118A07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5、其它资料。</w:t>
      </w:r>
    </w:p>
    <w:p w14:paraId="79D9B521">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十二、合同争议解决的方式</w:t>
      </w:r>
    </w:p>
    <w:p w14:paraId="60967060">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本合同在履行过程中发生的争议，由甲、乙双方当事人协商解决，协商不成的按下列第</w:t>
      </w:r>
      <w:r>
        <w:rPr>
          <w:rFonts w:hint="eastAsia" w:ascii="仿宋" w:hAnsi="仿宋" w:eastAsia="仿宋" w:cs="仿宋"/>
          <w:bCs/>
          <w:color w:val="auto"/>
          <w:sz w:val="28"/>
          <w:szCs w:val="28"/>
          <w:u w:val="single"/>
        </w:rPr>
        <w:t>（二）</w:t>
      </w:r>
      <w:r>
        <w:rPr>
          <w:rFonts w:hint="eastAsia" w:ascii="仿宋" w:hAnsi="仿宋" w:eastAsia="仿宋" w:cs="仿宋"/>
          <w:bCs/>
          <w:color w:val="auto"/>
          <w:sz w:val="28"/>
          <w:szCs w:val="28"/>
        </w:rPr>
        <w:t>种方式解决：</w:t>
      </w:r>
    </w:p>
    <w:p w14:paraId="43DCBB95">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（一）提交</w:t>
      </w:r>
      <w:r>
        <w:rPr>
          <w:rFonts w:hint="eastAsia" w:ascii="仿宋" w:hAnsi="仿宋" w:eastAsia="仿宋" w:cs="仿宋"/>
          <w:bCs/>
          <w:color w:val="auto"/>
          <w:sz w:val="28"/>
          <w:szCs w:val="28"/>
          <w:lang w:val="en-US" w:eastAsia="zh-CN"/>
        </w:rPr>
        <w:t>西安市</w:t>
      </w:r>
      <w:r>
        <w:rPr>
          <w:rFonts w:hint="eastAsia" w:ascii="仿宋" w:hAnsi="仿宋" w:eastAsia="仿宋" w:cs="仿宋"/>
          <w:bCs/>
          <w:color w:val="auto"/>
          <w:sz w:val="28"/>
          <w:szCs w:val="28"/>
        </w:rPr>
        <w:t>仲裁委员会仲裁；</w:t>
      </w:r>
    </w:p>
    <w:p w14:paraId="321CF36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（二）依法向甲方所在地人民法院起诉。</w:t>
      </w:r>
    </w:p>
    <w:p w14:paraId="347E9467">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十三、合同生效</w:t>
      </w:r>
    </w:p>
    <w:p w14:paraId="4DA85D06">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（一）本合同经甲、乙</w:t>
      </w:r>
      <w:r>
        <w:rPr>
          <w:rFonts w:hint="eastAsia" w:ascii="仿宋" w:hAnsi="仿宋" w:eastAsia="仿宋" w:cs="仿宋"/>
          <w:bCs/>
          <w:color w:val="auto"/>
          <w:sz w:val="28"/>
          <w:szCs w:val="28"/>
          <w:lang w:eastAsia="zh-CN"/>
        </w:rPr>
        <w:t>、</w:t>
      </w:r>
      <w:r>
        <w:rPr>
          <w:rFonts w:hint="eastAsia" w:ascii="仿宋" w:hAnsi="仿宋" w:eastAsia="仿宋" w:cs="仿宋"/>
          <w:b w:val="0"/>
          <w:bCs/>
          <w:color w:val="auto"/>
          <w:kern w:val="2"/>
          <w:sz w:val="28"/>
          <w:szCs w:val="28"/>
          <w:lang w:val="en-US" w:eastAsia="zh-CN" w:bidi="ar-SA"/>
        </w:rPr>
        <w:t>鉴定</w:t>
      </w:r>
      <w:r>
        <w:rPr>
          <w:rFonts w:hint="eastAsia" w:ascii="仿宋" w:hAnsi="仿宋" w:eastAsia="仿宋" w:cs="仿宋"/>
          <w:bCs/>
          <w:color w:val="auto"/>
          <w:sz w:val="28"/>
          <w:szCs w:val="28"/>
          <w:lang w:val="en-US" w:eastAsia="zh-CN"/>
        </w:rPr>
        <w:t>方</w:t>
      </w:r>
      <w:r>
        <w:rPr>
          <w:rFonts w:hint="eastAsia" w:ascii="仿宋" w:hAnsi="仿宋" w:eastAsia="仿宋" w:cs="仿宋"/>
          <w:bCs/>
          <w:color w:val="auto"/>
          <w:sz w:val="28"/>
          <w:szCs w:val="28"/>
        </w:rPr>
        <w:t>签字或盖章后生效。</w:t>
      </w:r>
    </w:p>
    <w:p w14:paraId="7A6055C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（二）本合同须经甲、乙双方的法定代表人（授权代理人）在合同书上签字</w:t>
      </w:r>
      <w:r>
        <w:rPr>
          <w:rFonts w:hint="eastAsia" w:ascii="仿宋" w:hAnsi="仿宋" w:eastAsia="仿宋" w:cs="仿宋"/>
          <w:bCs/>
          <w:color w:val="auto"/>
          <w:sz w:val="28"/>
          <w:szCs w:val="28"/>
          <w:lang w:eastAsia="zh-CN"/>
        </w:rPr>
        <w:t>或盖章，</w:t>
      </w:r>
      <w:r>
        <w:rPr>
          <w:rFonts w:hint="eastAsia" w:ascii="仿宋" w:hAnsi="仿宋" w:eastAsia="仿宋" w:cs="仿宋"/>
          <w:bCs/>
          <w:color w:val="auto"/>
          <w:sz w:val="28"/>
          <w:szCs w:val="28"/>
        </w:rPr>
        <w:t>并加盖本单位公章后正式生效。</w:t>
      </w:r>
    </w:p>
    <w:p w14:paraId="7618ED2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（三）合同生效后，甲、乙双方须严格执行本合同条款的规定，全面履行合同，违者按《中华人民共和国</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》的有关规定承担相应责任。</w:t>
      </w:r>
    </w:p>
    <w:p w14:paraId="5F4EBEC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（四）本合同一式</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份，甲乙双方各执</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份</w:t>
      </w:r>
      <w:r>
        <w:rPr>
          <w:rFonts w:hint="eastAsia" w:ascii="仿宋" w:hAnsi="仿宋" w:eastAsia="仿宋" w:cs="仿宋"/>
          <w:bCs/>
          <w:color w:val="auto"/>
          <w:sz w:val="28"/>
          <w:szCs w:val="28"/>
          <w:lang w:eastAsia="zh-CN"/>
        </w:rPr>
        <w:t>，</w:t>
      </w:r>
      <w:r>
        <w:rPr>
          <w:rFonts w:hint="eastAsia" w:ascii="仿宋" w:hAnsi="仿宋" w:eastAsia="仿宋" w:cs="仿宋"/>
          <w:b w:val="0"/>
          <w:bCs/>
          <w:color w:val="auto"/>
          <w:kern w:val="2"/>
          <w:sz w:val="28"/>
          <w:szCs w:val="28"/>
          <w:lang w:val="en-US" w:eastAsia="zh-CN" w:bidi="ar-SA"/>
        </w:rPr>
        <w:t>鉴定方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份</w:t>
      </w:r>
      <w:r>
        <w:rPr>
          <w:rFonts w:hint="eastAsia" w:ascii="仿宋" w:hAnsi="仿宋" w:eastAsia="仿宋" w:cs="仿宋"/>
          <w:bCs/>
          <w:color w:val="auto"/>
          <w:sz w:val="28"/>
          <w:szCs w:val="28"/>
          <w:lang w:eastAsia="zh-CN"/>
        </w:rPr>
        <w:t>。</w:t>
      </w:r>
    </w:p>
    <w:p w14:paraId="7D5E2260">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（五）本合同如有未尽事宜，甲、乙双方协商解决。</w:t>
      </w:r>
    </w:p>
    <w:p w14:paraId="31F461D8">
      <w:pPr>
        <w:pStyle w:val="2"/>
        <w:rPr>
          <w:rFonts w:hint="eastAsia"/>
          <w:lang w:val="zh-CN"/>
        </w:rPr>
      </w:pPr>
    </w:p>
    <w:p w14:paraId="4BDDD440">
      <w:pPr>
        <w:rPr>
          <w:rFonts w:hint="eastAsia"/>
          <w:lang w:val="zh-CN"/>
        </w:rPr>
      </w:pPr>
    </w:p>
    <w:tbl>
      <w:tblPr>
        <w:tblStyle w:val="4"/>
        <w:tblW w:w="0" w:type="auto"/>
        <w:jc w:val="center"/>
        <w:tblLayout w:type="fixed"/>
        <w:tblCellMar>
          <w:top w:w="0" w:type="dxa"/>
          <w:left w:w="108" w:type="dxa"/>
          <w:bottom w:w="0" w:type="dxa"/>
          <w:right w:w="108" w:type="dxa"/>
        </w:tblCellMar>
      </w:tblPr>
      <w:tblGrid>
        <w:gridCol w:w="4201"/>
        <w:gridCol w:w="4202"/>
      </w:tblGrid>
      <w:tr w14:paraId="19385494">
        <w:tblPrEx>
          <w:tblCellMar>
            <w:top w:w="0" w:type="dxa"/>
            <w:left w:w="108" w:type="dxa"/>
            <w:bottom w:w="0" w:type="dxa"/>
            <w:right w:w="108" w:type="dxa"/>
          </w:tblCellMar>
        </w:tblPrEx>
        <w:trPr>
          <w:trHeight w:val="567" w:hRule="exact"/>
          <w:jc w:val="center"/>
        </w:trPr>
        <w:tc>
          <w:tcPr>
            <w:tcW w:w="4201" w:type="dxa"/>
            <w:noWrap w:val="0"/>
            <w:vAlign w:val="center"/>
          </w:tcPr>
          <w:p w14:paraId="0E0D734D">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  方</w:t>
            </w:r>
          </w:p>
        </w:tc>
        <w:tc>
          <w:tcPr>
            <w:tcW w:w="4202" w:type="dxa"/>
            <w:noWrap w:val="0"/>
            <w:vAlign w:val="center"/>
          </w:tcPr>
          <w:p w14:paraId="6C8175AC">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  方</w:t>
            </w:r>
          </w:p>
        </w:tc>
      </w:tr>
      <w:tr w14:paraId="45C314C5">
        <w:tblPrEx>
          <w:tblCellMar>
            <w:top w:w="0" w:type="dxa"/>
            <w:left w:w="108" w:type="dxa"/>
            <w:bottom w:w="0" w:type="dxa"/>
            <w:right w:w="108" w:type="dxa"/>
          </w:tblCellMar>
        </w:tblPrEx>
        <w:trPr>
          <w:trHeight w:val="567" w:hRule="exact"/>
          <w:jc w:val="center"/>
        </w:trPr>
        <w:tc>
          <w:tcPr>
            <w:tcW w:w="4201" w:type="dxa"/>
            <w:noWrap w:val="0"/>
            <w:vAlign w:val="center"/>
          </w:tcPr>
          <w:p w14:paraId="16A06B26">
            <w:pPr>
              <w:pageBreakBefore w:val="0"/>
              <w:widowControl w:val="0"/>
              <w:kinsoku/>
              <w:wordWrap/>
              <w:overflowPunct/>
              <w:topLinePunct w:val="0"/>
              <w:autoSpaceDE w:val="0"/>
              <w:autoSpaceDN w:val="0"/>
              <w:bidi w:val="0"/>
              <w:adjustRightInd w:val="0"/>
              <w:spacing w:line="480" w:lineRule="exact"/>
              <w:ind w:firstLine="840" w:firstLineChars="350"/>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c>
          <w:tcPr>
            <w:tcW w:w="4202" w:type="dxa"/>
            <w:noWrap w:val="0"/>
            <w:vAlign w:val="center"/>
          </w:tcPr>
          <w:p w14:paraId="56004E97">
            <w:pPr>
              <w:pageBreakBefore w:val="0"/>
              <w:widowControl w:val="0"/>
              <w:kinsoku/>
              <w:wordWrap/>
              <w:overflowPunct/>
              <w:topLinePunct w:val="0"/>
              <w:autoSpaceDE w:val="0"/>
              <w:autoSpaceDN w:val="0"/>
              <w:bidi w:val="0"/>
              <w:adjustRightInd w:val="0"/>
              <w:spacing w:line="480" w:lineRule="exact"/>
              <w:ind w:firstLine="960" w:firstLineChars="400"/>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r>
      <w:tr w14:paraId="54C3FF0D">
        <w:tblPrEx>
          <w:tblCellMar>
            <w:top w:w="0" w:type="dxa"/>
            <w:left w:w="108" w:type="dxa"/>
            <w:bottom w:w="0" w:type="dxa"/>
            <w:right w:w="108" w:type="dxa"/>
          </w:tblCellMar>
        </w:tblPrEx>
        <w:trPr>
          <w:trHeight w:val="567" w:hRule="exact"/>
          <w:jc w:val="center"/>
        </w:trPr>
        <w:tc>
          <w:tcPr>
            <w:tcW w:w="4201" w:type="dxa"/>
            <w:noWrap w:val="0"/>
            <w:vAlign w:val="center"/>
          </w:tcPr>
          <w:p w14:paraId="1D184E38">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地址： </w:t>
            </w:r>
          </w:p>
        </w:tc>
        <w:tc>
          <w:tcPr>
            <w:tcW w:w="4202" w:type="dxa"/>
            <w:noWrap w:val="0"/>
            <w:vAlign w:val="center"/>
          </w:tcPr>
          <w:p w14:paraId="06B5A07D">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14:paraId="33A956A8">
        <w:tblPrEx>
          <w:tblCellMar>
            <w:top w:w="0" w:type="dxa"/>
            <w:left w:w="108" w:type="dxa"/>
            <w:bottom w:w="0" w:type="dxa"/>
            <w:right w:w="108" w:type="dxa"/>
          </w:tblCellMar>
        </w:tblPrEx>
        <w:trPr>
          <w:trHeight w:val="567" w:hRule="exact"/>
          <w:jc w:val="center"/>
        </w:trPr>
        <w:tc>
          <w:tcPr>
            <w:tcW w:w="4201" w:type="dxa"/>
            <w:noWrap w:val="0"/>
            <w:vAlign w:val="center"/>
          </w:tcPr>
          <w:p w14:paraId="64C0AB2A">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c>
          <w:tcPr>
            <w:tcW w:w="4202" w:type="dxa"/>
            <w:noWrap w:val="0"/>
            <w:vAlign w:val="center"/>
          </w:tcPr>
          <w:p w14:paraId="6D56FF3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r>
      <w:tr w14:paraId="0A51AA52">
        <w:tblPrEx>
          <w:tblCellMar>
            <w:top w:w="0" w:type="dxa"/>
            <w:left w:w="108" w:type="dxa"/>
            <w:bottom w:w="0" w:type="dxa"/>
            <w:right w:w="108" w:type="dxa"/>
          </w:tblCellMar>
        </w:tblPrEx>
        <w:trPr>
          <w:trHeight w:val="567" w:hRule="exact"/>
          <w:jc w:val="center"/>
        </w:trPr>
        <w:tc>
          <w:tcPr>
            <w:tcW w:w="4201" w:type="dxa"/>
            <w:noWrap w:val="0"/>
            <w:vAlign w:val="center"/>
          </w:tcPr>
          <w:p w14:paraId="2F0A02F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法定代表人： </w:t>
            </w:r>
          </w:p>
        </w:tc>
        <w:tc>
          <w:tcPr>
            <w:tcW w:w="4202" w:type="dxa"/>
            <w:noWrap w:val="0"/>
            <w:vAlign w:val="center"/>
          </w:tcPr>
          <w:p w14:paraId="61D16085">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w:t>
            </w:r>
          </w:p>
        </w:tc>
      </w:tr>
      <w:tr w14:paraId="4A583486">
        <w:tblPrEx>
          <w:tblCellMar>
            <w:top w:w="0" w:type="dxa"/>
            <w:left w:w="108" w:type="dxa"/>
            <w:bottom w:w="0" w:type="dxa"/>
            <w:right w:w="108" w:type="dxa"/>
          </w:tblCellMar>
        </w:tblPrEx>
        <w:trPr>
          <w:trHeight w:val="567" w:hRule="exact"/>
          <w:jc w:val="center"/>
        </w:trPr>
        <w:tc>
          <w:tcPr>
            <w:tcW w:w="4201" w:type="dxa"/>
            <w:noWrap w:val="0"/>
            <w:vAlign w:val="center"/>
          </w:tcPr>
          <w:p w14:paraId="51BE80F5">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c>
          <w:tcPr>
            <w:tcW w:w="4202" w:type="dxa"/>
            <w:noWrap w:val="0"/>
            <w:vAlign w:val="center"/>
          </w:tcPr>
          <w:p w14:paraId="1124389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r>
      <w:tr w14:paraId="365F435E">
        <w:tblPrEx>
          <w:tblCellMar>
            <w:top w:w="0" w:type="dxa"/>
            <w:left w:w="108" w:type="dxa"/>
            <w:bottom w:w="0" w:type="dxa"/>
            <w:right w:w="108" w:type="dxa"/>
          </w:tblCellMar>
        </w:tblPrEx>
        <w:trPr>
          <w:trHeight w:val="567" w:hRule="exact"/>
          <w:jc w:val="center"/>
        </w:trPr>
        <w:tc>
          <w:tcPr>
            <w:tcW w:w="4201" w:type="dxa"/>
            <w:noWrap w:val="0"/>
            <w:vAlign w:val="center"/>
          </w:tcPr>
          <w:p w14:paraId="57CC9A8C">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4202" w:type="dxa"/>
            <w:noWrap w:val="0"/>
            <w:vAlign w:val="center"/>
          </w:tcPr>
          <w:p w14:paraId="744B7858">
            <w:pPr>
              <w:pageBreakBefore w:val="0"/>
              <w:widowControl w:val="0"/>
              <w:kinsoku/>
              <w:wordWrap/>
              <w:overflowPunct/>
              <w:topLinePunct w:val="0"/>
              <w:autoSpaceDE w:val="0"/>
              <w:autoSpaceDN w:val="0"/>
              <w:bidi w:val="0"/>
              <w:adjustRightInd w:val="0"/>
              <w:spacing w:line="480" w:lineRule="exact"/>
              <w:ind w:left="840" w:hanging="720" w:hangingChars="300"/>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14:paraId="0E89DAD8">
        <w:tblPrEx>
          <w:tblCellMar>
            <w:top w:w="0" w:type="dxa"/>
            <w:left w:w="108" w:type="dxa"/>
            <w:bottom w:w="0" w:type="dxa"/>
            <w:right w:w="108" w:type="dxa"/>
          </w:tblCellMar>
        </w:tblPrEx>
        <w:trPr>
          <w:trHeight w:val="567" w:hRule="exact"/>
          <w:jc w:val="center"/>
        </w:trPr>
        <w:tc>
          <w:tcPr>
            <w:tcW w:w="4201" w:type="dxa"/>
            <w:noWrap w:val="0"/>
            <w:vAlign w:val="center"/>
          </w:tcPr>
          <w:p w14:paraId="71EAAA3A">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c>
          <w:tcPr>
            <w:tcW w:w="4202" w:type="dxa"/>
            <w:noWrap w:val="0"/>
            <w:vAlign w:val="center"/>
          </w:tcPr>
          <w:p w14:paraId="02A39239">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r>
      <w:tr w14:paraId="3961B629">
        <w:tblPrEx>
          <w:tblCellMar>
            <w:top w:w="0" w:type="dxa"/>
            <w:left w:w="108" w:type="dxa"/>
            <w:bottom w:w="0" w:type="dxa"/>
            <w:right w:w="108" w:type="dxa"/>
          </w:tblCellMar>
        </w:tblPrEx>
        <w:trPr>
          <w:trHeight w:val="567" w:hRule="exact"/>
          <w:jc w:val="center"/>
        </w:trPr>
        <w:tc>
          <w:tcPr>
            <w:tcW w:w="4201" w:type="dxa"/>
            <w:noWrap w:val="0"/>
            <w:vAlign w:val="center"/>
          </w:tcPr>
          <w:p w14:paraId="1782D319">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开户银行：</w:t>
            </w:r>
          </w:p>
        </w:tc>
        <w:tc>
          <w:tcPr>
            <w:tcW w:w="4202" w:type="dxa"/>
            <w:noWrap w:val="0"/>
            <w:vAlign w:val="center"/>
          </w:tcPr>
          <w:p w14:paraId="5959D6E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开户银行：</w:t>
            </w:r>
          </w:p>
        </w:tc>
      </w:tr>
      <w:tr w14:paraId="5A48648D">
        <w:tblPrEx>
          <w:tblCellMar>
            <w:top w:w="0" w:type="dxa"/>
            <w:left w:w="108" w:type="dxa"/>
            <w:bottom w:w="0" w:type="dxa"/>
            <w:right w:w="108" w:type="dxa"/>
          </w:tblCellMar>
        </w:tblPrEx>
        <w:trPr>
          <w:trHeight w:val="567" w:hRule="exact"/>
          <w:jc w:val="center"/>
        </w:trPr>
        <w:tc>
          <w:tcPr>
            <w:tcW w:w="4201" w:type="dxa"/>
            <w:noWrap w:val="0"/>
            <w:vAlign w:val="center"/>
          </w:tcPr>
          <w:p w14:paraId="57880480">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4202" w:type="dxa"/>
            <w:noWrap w:val="0"/>
            <w:vAlign w:val="center"/>
          </w:tcPr>
          <w:p w14:paraId="4CC93EFE">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tbl>
    <w:p w14:paraId="70916212">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06171"/>
    <w:rsid w:val="1BFB4653"/>
    <w:rsid w:val="39B826EF"/>
    <w:rsid w:val="6DFE0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pPr>
      <w:ind w:left="630"/>
      <w:jc w:val="left"/>
    </w:pPr>
    <w:rPr>
      <w:sz w:val="18"/>
      <w:szCs w:val="18"/>
    </w:rPr>
  </w:style>
  <w:style w:type="paragraph" w:customStyle="1" w:styleId="6">
    <w:name w:val="样式 10 磅"/>
    <w:autoRedefine/>
    <w:qFormat/>
    <w:uiPriority w:val="0"/>
    <w:pPr>
      <w:widowControl w:val="0"/>
      <w:jc w:val="both"/>
    </w:pPr>
    <w:rPr>
      <w:rFonts w:ascii="Calibri" w:hAnsi="Calibri" w:eastAsia="宋体" w:cs="Calibr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2821</Words>
  <Characters>2853</Characters>
  <Lines>0</Lines>
  <Paragraphs>0</Paragraphs>
  <TotalTime>17</TotalTime>
  <ScaleCrop>false</ScaleCrop>
  <LinksUpToDate>false</LinksUpToDate>
  <CharactersWithSpaces>2926</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2024-03-08T01:46:00Z</dcterms:created>
  <dc:creator>001</dc:creator>
  <cp:lastModifiedBy>WPS_1546392776</cp:lastModifiedBy>
  <dcterms:modified xsi:type="dcterms:W3CDTF">2026-07-27T07:04:04Z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6EB4F5D49CB040E88EE9B133355A47B8_12</vt:lpwstr>
  </property>
  <property fmtid="{D5CDD505-2E9C-101B-9397-08002B2CF9AE}" pid="4" name="KSOTemplateDocerSaveRecord">
    <vt:lpwstr>eyJoZGlkIjoiNTVkNTEwZjkyM2MwMzg0ZjgzZWIzZWZlYzE3OWZiY2EiLCJ1c2VySWQiOiI0NTI2NjMyNzYifQ==</vt:lpwstr>
  </property>
</Properties>
</file>