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版本号：SCZE2026-CS-1040-00120260507001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校园消防改造工程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SCZE2026-CS-1040-001</w:t>
      </w:r>
      <w:r>
        <w:br/>
      </w:r>
      <w:r>
        <w:br/>
      </w:r>
      <w:r>
        <w:br/>
      </w:r>
    </w:p>
    <w:p>
      <w:pPr>
        <w:pStyle w:val="null3"/>
        <w:jc w:val="center"/>
        <w:outlineLvl w:val="2"/>
      </w:pPr>
      <w:r>
        <w:rPr>
          <w:rFonts w:ascii="仿宋_GB2312" w:hAnsi="仿宋_GB2312" w:cs="仿宋_GB2312" w:eastAsia="仿宋_GB2312"/>
          <w:sz w:val="28"/>
          <w:b/>
        </w:rPr>
        <w:t>西安市铁一中学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西安市铁一中学</w:t>
      </w:r>
      <w:r>
        <w:rPr>
          <w:rFonts w:ascii="仿宋_GB2312" w:hAnsi="仿宋_GB2312" w:cs="仿宋_GB2312" w:eastAsia="仿宋_GB2312"/>
        </w:rPr>
        <w:t>委托，拟对</w:t>
      </w:r>
      <w:r>
        <w:rPr>
          <w:rFonts w:ascii="仿宋_GB2312" w:hAnsi="仿宋_GB2312" w:cs="仿宋_GB2312" w:eastAsia="仿宋_GB2312"/>
        </w:rPr>
        <w:t>校园消防改造工程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SCZE2026-CS-1040-001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校园消防改造工程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本项目为校园消防改造项目，主要内容包括教学楼、公寓楼、学生活动中心等进行消防改造，具体工作内容详见采购文件、图纸及工程量清单。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采购包1（校园消防改造工程）：属于专门面向中小企业采购。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定代表人或单位负责人参加磋商的，应提供法定代表人或单位负责人身份证明；授权代表参加磋商的，应提供法定代表人或单位负责人身份证明、授权委托书及授权代表在本单位缴纳养老保险证明。</w:t>
      </w:r>
    </w:p>
    <w:p>
      <w:pPr>
        <w:pStyle w:val="null3"/>
      </w:pPr>
      <w:r>
        <w:rPr>
          <w:rFonts w:ascii="仿宋_GB2312" w:hAnsi="仿宋_GB2312" w:cs="仿宋_GB2312" w:eastAsia="仿宋_GB2312"/>
        </w:rPr>
        <w:t>2、“信用中国”网站和中国政府采购网（www.ccgp.gov.cn）查询记录：供应商未被列入“信用中国”网站(www.creditchina.gov.cn)“失信被执行人或重大税收违法失信主体”记录名单； 不处于中国政府采购网(www.ccgp.gov.cn)“政府采购严重违法失信行为信息记录”中。 （以代理机构于开启响应文件当天进行资格审查时在“信用中国”网站（www.creditchina.gov.cn）及中国政府采购网(www.ccgp.gov.cn)查询结果为准）。</w:t>
      </w:r>
    </w:p>
    <w:p>
      <w:pPr>
        <w:pStyle w:val="null3"/>
      </w:pPr>
      <w:r>
        <w:rPr>
          <w:rFonts w:ascii="仿宋_GB2312" w:hAnsi="仿宋_GB2312" w:cs="仿宋_GB2312" w:eastAsia="仿宋_GB2312"/>
        </w:rPr>
        <w:t>3、企业资质：供应商须具备建设部门颁发的消防设施工程专业承包二级（及以上）资质，并具备有效的安全生产许可证；</w:t>
      </w:r>
    </w:p>
    <w:p>
      <w:pPr>
        <w:pStyle w:val="null3"/>
      </w:pPr>
      <w:r>
        <w:rPr>
          <w:rFonts w:ascii="仿宋_GB2312" w:hAnsi="仿宋_GB2312" w:cs="仿宋_GB2312" w:eastAsia="仿宋_GB2312"/>
        </w:rPr>
        <w:t>4、拟派项目经理：具备机电工程专业二级（及以上）注册建造师证书和有效的安全生产考核合格证书（B证）且在本单位注册，并提供未担任其他在建工程项目经理和无不良记录承诺；</w:t>
      </w:r>
    </w:p>
    <w:p>
      <w:pPr>
        <w:pStyle w:val="null3"/>
      </w:pPr>
      <w:r>
        <w:rPr>
          <w:rFonts w:ascii="仿宋_GB2312" w:hAnsi="仿宋_GB2312" w:cs="仿宋_GB2312" w:eastAsia="仿宋_GB2312"/>
        </w:rPr>
        <w:t>5、供应商基本信息及项目经理的基本信息：供应商基本信息及项目经理的基本信息在“陕西省住房和城乡建设厅（http://js.shaanxi.gov.cn/）”可查询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西安市铁一中学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029-83229238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李江西、马超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采购包1：3,210,818.21元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代理服务费收费标准：成交服务费参照《国家计委关于印发&lt;招标代理服务收费管理暂行办法&gt;的通知》（计价格[2002]1980号）标准收取，不足8000.00元的，按8000.00元计取。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西安市铁一中学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西安市铁一中学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西安市铁一中学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地址：陕西省西安市高新区唐延南路都市之门C座9层综合办公室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3,210,818.21</w:t>
      </w:r>
    </w:p>
    <w:p>
      <w:pPr>
        <w:pStyle w:val="null3"/>
      </w:pPr>
      <w:r>
        <w:rPr>
          <w:rFonts w:ascii="仿宋_GB2312" w:hAnsi="仿宋_GB2312" w:cs="仿宋_GB2312" w:eastAsia="仿宋_GB2312"/>
        </w:rPr>
        <w:t>采购包最高限价（元）: 3,210,818.21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3210818.21</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3,210,818.21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标的名称：3210818.21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）工程内容：包括西安市铁一中学校园装饰装修、消防水、火灾报警、消防排烟改造等，具体工作内容详见采购文件、图纸及工程量清单。</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）工期：</w:t>
            </w:r>
            <w:r>
              <w:rPr>
                <w:rFonts w:ascii="仿宋_GB2312" w:hAnsi="仿宋_GB2312" w:cs="仿宋_GB2312" w:eastAsia="仿宋_GB2312"/>
                <w:sz w:val="20"/>
              </w:rPr>
              <w:t>自进场之日起60个日历日内竣工</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）项目地点</w:t>
            </w:r>
            <w:r>
              <w:rPr>
                <w:rFonts w:ascii="仿宋_GB2312" w:hAnsi="仿宋_GB2312" w:cs="仿宋_GB2312" w:eastAsia="仿宋_GB2312"/>
                <w:sz w:val="20"/>
              </w:rPr>
              <w:t>:</w:t>
            </w:r>
            <w:r>
              <w:rPr>
                <w:rFonts w:ascii="仿宋_GB2312" w:hAnsi="仿宋_GB2312" w:cs="仿宋_GB2312" w:eastAsia="仿宋_GB2312"/>
                <w:sz w:val="20"/>
              </w:rPr>
              <w:t>西安市铁一中学。</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）质保期：按照国家民用建筑相关规定执行。</w:t>
            </w:r>
          </w:p>
          <w:p>
            <w:pPr>
              <w:pStyle w:val="null3"/>
            </w:pPr>
            <w:r>
              <w:rPr>
                <w:rFonts w:ascii="仿宋_GB2312" w:hAnsi="仿宋_GB2312" w:cs="仿宋_GB2312" w:eastAsia="仿宋_GB2312"/>
                <w:sz w:val="21"/>
              </w:rPr>
              <w:t>（5）质量要求：合格。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按格式要求填写《响应函》及《资格证明文件》并按要求进行签章。</w:t>
            </w:r>
          </w:p>
        </w:tc>
        <w:tc>
          <w:tcPr>
            <w:tcW w:type="dxa" w:w="1661"/>
          </w:tcPr>
          <w:p>
            <w:pPr>
              <w:pStyle w:val="null3"/>
            </w:pPr>
            <w:r>
              <w:rPr>
                <w:rFonts w:ascii="仿宋_GB2312" w:hAnsi="仿宋_GB2312" w:cs="仿宋_GB2312" w:eastAsia="仿宋_GB2312"/>
              </w:rPr>
              <w:t>响应文件封面 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按格式要求填写《响应函》及《资格证明文件》并按要求进行签章。</w:t>
            </w:r>
          </w:p>
        </w:tc>
        <w:tc>
          <w:tcPr>
            <w:tcW w:type="dxa" w:w="1661"/>
          </w:tcPr>
          <w:p>
            <w:pPr>
              <w:pStyle w:val="null3"/>
            </w:pPr>
            <w:r>
              <w:rPr>
                <w:rFonts w:ascii="仿宋_GB2312" w:hAnsi="仿宋_GB2312" w:cs="仿宋_GB2312" w:eastAsia="仿宋_GB2312"/>
              </w:rPr>
              <w:t>响应文件封面 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按格式要求填写《响应函》及《资格证明文件》并按要求进行签章。</w:t>
            </w:r>
          </w:p>
        </w:tc>
        <w:tc>
          <w:tcPr>
            <w:tcW w:type="dxa" w:w="1661"/>
          </w:tcPr>
          <w:p>
            <w:pPr>
              <w:pStyle w:val="null3"/>
            </w:pPr>
            <w:r>
              <w:rPr>
                <w:rFonts w:ascii="仿宋_GB2312" w:hAnsi="仿宋_GB2312" w:cs="仿宋_GB2312" w:eastAsia="仿宋_GB2312"/>
              </w:rPr>
              <w:t>响应文件封面 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响应文件封面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（以代理机构于开启响应文件当天进行资格审查时在“信用中国”网站（www.creditchina.gov.cn）及中国政府采购网(www.ccgp.gov.cn)查询结果为准）。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响应文件封面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供应商须具备建设部门颁发的消防设施工程专业承包二级（及以上）资质，并具备有效的安全生产许可证；</w:t>
            </w:r>
          </w:p>
        </w:tc>
        <w:tc>
          <w:tcPr>
            <w:tcW w:type="dxa" w:w="1661"/>
          </w:tcPr>
          <w:p>
            <w:pPr>
              <w:pStyle w:val="null3"/>
            </w:pPr>
            <w:r>
              <w:rPr>
                <w:rFonts w:ascii="仿宋_GB2312" w:hAnsi="仿宋_GB2312" w:cs="仿宋_GB2312" w:eastAsia="仿宋_GB2312"/>
              </w:rPr>
              <w:t>响应文件封面 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具备机电工程专业二级（及以上）注册建造师证书和有效的安全生产考核合格证书（B证）且在本单位注册，并提供未担任其他在建工程项目经理和无不良记录承诺；</w:t>
            </w:r>
          </w:p>
        </w:tc>
        <w:tc>
          <w:tcPr>
            <w:tcW w:type="dxa" w:w="1661"/>
          </w:tcPr>
          <w:p>
            <w:pPr>
              <w:pStyle w:val="null3"/>
            </w:pPr>
            <w:r>
              <w:rPr>
                <w:rFonts w:ascii="仿宋_GB2312" w:hAnsi="仿宋_GB2312" w:cs="仿宋_GB2312" w:eastAsia="仿宋_GB2312"/>
              </w:rPr>
              <w:t>响应文件封面 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供应商基本信息及项目经理的基本信息</w:t>
            </w:r>
          </w:p>
        </w:tc>
        <w:tc>
          <w:tcPr>
            <w:tcW w:type="dxa" w:w="3322"/>
          </w:tcPr>
          <w:p>
            <w:pPr>
              <w:pStyle w:val="null3"/>
            </w:pPr>
            <w:r>
              <w:rPr>
                <w:rFonts w:ascii="仿宋_GB2312" w:hAnsi="仿宋_GB2312" w:cs="仿宋_GB2312" w:eastAsia="仿宋_GB2312"/>
              </w:rPr>
              <w:t>供应商基本信息及项目经理的基本信息在“陕西省住房和城乡建设厅（http://js.shaanxi.gov.cn/）”可查询</w:t>
            </w:r>
          </w:p>
        </w:tc>
        <w:tc>
          <w:tcPr>
            <w:tcW w:type="dxa" w:w="1661"/>
          </w:tcPr>
          <w:p>
            <w:pPr>
              <w:pStyle w:val="null3"/>
            </w:pPr>
            <w:r>
              <w:rPr>
                <w:rFonts w:ascii="仿宋_GB2312" w:hAnsi="仿宋_GB2312" w:cs="仿宋_GB2312" w:eastAsia="仿宋_GB2312"/>
              </w:rPr>
              <w:t>响应文件封面 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分项报价表（工程）.pdf 响应方案说明.pdf 拒绝政府采购领域商业贿赂承诺书.pdf 最终报价表.pdf 报价函 标的清单 偏离表.pdf 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按磋商文件格式要求加盖了供应商公章和有法定代表人或其委托代理人签字或盖章。</w:t>
            </w:r>
          </w:p>
        </w:tc>
        <w:tc>
          <w:tcPr>
            <w:tcW w:type="dxa" w:w="1661"/>
          </w:tcPr>
          <w:p>
            <w:pPr>
              <w:pStyle w:val="null3"/>
            </w:pPr>
            <w:r>
              <w:rPr>
                <w:rFonts w:ascii="仿宋_GB2312" w:hAnsi="仿宋_GB2312" w:cs="仿宋_GB2312" w:eastAsia="仿宋_GB2312"/>
              </w:rPr>
              <w:t>响应方案说明.pdf 中小企业声明函 响应文件封面 分项报价表（工程）.pdf 拒绝政府采购领域商业贿赂承诺书.pdf 最终报价表.pdf 残疾人福利性单位声明函 报价函 标的清单 偏离表.pdf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内容无重大缺漏项，报价唯一，且没有超过采购预算及最高限价</w:t>
            </w:r>
          </w:p>
        </w:tc>
        <w:tc>
          <w:tcPr>
            <w:tcW w:type="dxa" w:w="1661"/>
          </w:tcPr>
          <w:p>
            <w:pPr>
              <w:pStyle w:val="null3"/>
            </w:pPr>
            <w:r>
              <w:rPr>
                <w:rFonts w:ascii="仿宋_GB2312" w:hAnsi="仿宋_GB2312" w:cs="仿宋_GB2312" w:eastAsia="仿宋_GB2312"/>
              </w:rPr>
              <w:t>分项报价表（工程）.pdf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分项报价表（工程）.pdf 响应方案说明.pdf 拒绝政府采购领域商业贿赂承诺书.pdf 中小企业声明函 残疾人福利性单位声明函 报价函 标的清单 偏离表.pdf 响应函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分项报价表（工程）.pdf 响应方案说明.pdf 标的清单 偏离表.pdf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针对本项目提供科学、可行、合理的总体施工组织布置及规划，满足采购人需求。 1.总体施工组织布置及规划内容详尽，全面、具体、可行、科学合理，得10分； 2.总体施工组织布置及规划内容较详尽，比较全面、可行，得8分； 3.总体施工组织布置及规划没有明显缺漏，相对全面，得6分； 4.总体施工组织布置及规划基本全面，有一定合理性，得4分； 5.总体施工组织布置及规划简单，合理性差的得2分； 6.不满足项目要求或未提供不计分。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针对本项目提供科学、可行、合理的施工方案、方法与技术措施，满足采购人需求。 1.施工方案、方法与技术措施全面、具体、可行、科学合理，得6分； 2.施工方案、方法与技术措施比较全面、具体、可行，得3分； 3.施工方案、方法与技术措施简单，有一定的合理性得1分；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针对本项目提供的项目质量保证体系及措施科学、合理、可行，满足采购人需求。 1.质量保证体系及措施科学、合理、可行得5分； 2.质量保证体系及措施内容较完善，有一定的科学性、可行性得3分； 3.质量保证体系及措施内容简单，可行性差得1分；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针对本项目提供的项目安全保证措施科学、合理、可行，满足采购人需求。 1.安全保证措施科学、合理、可行得5分； 2.安全保证措施内容较完善，有一定的科学性、可行性得3分； 3.安全保证措施内容简单，可行性差得1分；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项目进度计划和工期目标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1.项目进度计划和工期目标科学、合理、可行得6分； 2.项目进度计划和工期安排内容较完善，有一定的科学性、可行性得3分； 3.项目进度计划和工期内容简单，可行性差得1分；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 1.项目风险预测与防范，事故应急预案科学、合理、可行得5分； 2.项目风险预测与防范，事故应急预案内容较完善，有一定的科学性、可行性得3分； 3.项目风险预测与防范，事故应急预案内容简单，可行性差得1分；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1.拟投入本项目人员数量充足，专业人员配置齐全、针对性强、分工明确，能够满足采购人项目需求的得5分； 2.人员配备数量一般，专业人员配备能够基本满足项目实施需要，分工有一定的合理性，基本能满足项目需求的得3分； 3.人员配备数量较少，专业人员配备不齐全的得1分；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拟投入本项目主要机具、设备和劳动力配置情况</w:t>
            </w:r>
          </w:p>
        </w:tc>
        <w:tc>
          <w:tcPr>
            <w:tcW w:type="dxa" w:w="2492"/>
          </w:tcPr>
          <w:p>
            <w:pPr>
              <w:pStyle w:val="null3"/>
            </w:pPr>
            <w:r>
              <w:rPr>
                <w:rFonts w:ascii="仿宋_GB2312" w:hAnsi="仿宋_GB2312" w:cs="仿宋_GB2312" w:eastAsia="仿宋_GB2312"/>
              </w:rPr>
              <w:t>拟投入本项目主要机具、设备和劳动力配置情况，磋商小组可根据拟投入本项目设备情况自主打分。 1.拟投入的主要机具、设备和劳动力充分、能满足项目需要得6分； 2.拟投入的主要机具、设备和劳动力较充分、基本满足项目需要得3分； 3.拟投入的主要机具、设备和劳动力有缺漏、配备不齐全得1分；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2023年1月1日以来承接过类似项目的合同证明（以合同的签订日期为准）（每提供一个得2.5分，满分5分）（合同内容须清晰可辨认，无涂改，否则视为无效合同）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拟派项目负责人业绩证明</w:t>
            </w:r>
          </w:p>
        </w:tc>
        <w:tc>
          <w:tcPr>
            <w:tcW w:type="dxa" w:w="2492"/>
          </w:tcPr>
          <w:p>
            <w:pPr>
              <w:pStyle w:val="null3"/>
            </w:pPr>
            <w:r>
              <w:rPr>
                <w:rFonts w:ascii="仿宋_GB2312" w:hAnsi="仿宋_GB2312" w:cs="仿宋_GB2312" w:eastAsia="仿宋_GB2312"/>
              </w:rPr>
              <w:t>拟派项目负责人需提供2023年1月1日以来承接过类似项目（以合同的签订日期为准）（每提供一个得5分，满分5分）（合同需包含项目负责人/项目经理姓名，合同内容须清晰可辨认，无涂改，否则视为无效合同）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 1.完整、科学、合理、可行得7分； 2.质量保修承诺较完整、较科学、较可行得4分； 3.质量保修承诺简单得1分； 4.不满足项目要求或未提供不计分。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根据采购人意见及时调整人员及服务方案的承诺： 1.承诺具体、详细、可行得5分； 2.承诺较具体、内容较全面、较可行得3分； 3.承诺内容简单、可行性较差的得1分；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分项报价表（工程）.pdf</w:t>
            </w:r>
          </w:p>
          <w:p>
            <w:pPr>
              <w:pStyle w:val="null3"/>
            </w:pPr>
            <w:r>
              <w:rPr>
                <w:rFonts w:ascii="仿宋_GB2312" w:hAnsi="仿宋_GB2312" w:cs="仿宋_GB2312" w:eastAsia="仿宋_GB2312"/>
              </w:rPr>
              <w:t>最终报价表.pdf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详见附件：分项报价表（工程）.pdf</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详见附件：偏离表.pdf</w:t>
      </w:r>
    </w:p>
    <w:p>
      <w:pPr>
        <w:pStyle w:val="null3"/>
        <w:ind w:firstLine="960"/>
      </w:pPr>
      <w:r>
        <w:rPr>
          <w:rFonts w:ascii="仿宋_GB2312" w:hAnsi="仿宋_GB2312" w:cs="仿宋_GB2312" w:eastAsia="仿宋_GB2312"/>
        </w:rPr>
        <w:t>详见附件：响应方案说明.pdf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详见附件：最终报价表.pdf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