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版本号：ZCSP-临渭区-2026-0010920260519005</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秦岭生态保护、黄河流域生态保护、高质量发展规划中期评估和修编</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ZCSP-临渭区-2026-00109</w:t>
      </w:r>
      <w:r>
        <w:br/>
      </w:r>
      <w:r>
        <w:br/>
      </w:r>
      <w:r>
        <w:br/>
      </w:r>
    </w:p>
    <w:p>
      <w:pPr>
        <w:pStyle w:val="null3"/>
        <w:jc w:val="center"/>
        <w:outlineLvl w:val="2"/>
      </w:pPr>
      <w:r>
        <w:rPr>
          <w:rFonts w:ascii="仿宋_GB2312" w:hAnsi="仿宋_GB2312" w:cs="仿宋_GB2312" w:eastAsia="仿宋_GB2312"/>
          <w:sz w:val="28"/>
          <w:b/>
        </w:rPr>
        <w:t>渭南市临渭区发展和改革局</w:t>
      </w:r>
    </w:p>
    <w:p>
      <w:pPr>
        <w:pStyle w:val="null3"/>
        <w:jc w:val="center"/>
        <w:outlineLvl w:val="2"/>
      </w:pPr>
      <w:r>
        <w:rPr>
          <w:rFonts w:ascii="仿宋_GB2312" w:hAnsi="仿宋_GB2312" w:cs="仿宋_GB2312" w:eastAsia="仿宋_GB2312"/>
          <w:sz w:val="28"/>
          <w:b/>
        </w:rPr>
        <w:t>陕西克崎顶工程项目管理有限公司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陕西克崎顶工程项目管理有限公司</w:t>
      </w:r>
      <w:r>
        <w:rPr>
          <w:rFonts w:ascii="仿宋_GB2312" w:hAnsi="仿宋_GB2312" w:cs="仿宋_GB2312" w:eastAsia="仿宋_GB2312"/>
        </w:rPr>
        <w:t>（以下简称“代理机构”）受</w:t>
      </w:r>
      <w:r>
        <w:rPr>
          <w:rFonts w:ascii="仿宋_GB2312" w:hAnsi="仿宋_GB2312" w:cs="仿宋_GB2312" w:eastAsia="仿宋_GB2312"/>
        </w:rPr>
        <w:t>渭南市临渭区发展和改革局</w:t>
      </w:r>
      <w:r>
        <w:rPr>
          <w:rFonts w:ascii="仿宋_GB2312" w:hAnsi="仿宋_GB2312" w:cs="仿宋_GB2312" w:eastAsia="仿宋_GB2312"/>
        </w:rPr>
        <w:t>委托，拟对</w:t>
      </w:r>
      <w:r>
        <w:rPr>
          <w:rFonts w:ascii="仿宋_GB2312" w:hAnsi="仿宋_GB2312" w:cs="仿宋_GB2312" w:eastAsia="仿宋_GB2312"/>
        </w:rPr>
        <w:t>秦岭生态保护、黄河流域生态保护、高质量发展规划中期评估和修编</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ZCSP-临渭区-2026-00109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秦岭生态保护、黄河流域生态保护、高质量发展规划中期评估和修编</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全面落实省、市关于秦岭生态环境保护、黄河流域生态保护和高质量发展规划工作要求，依据《陕西省秦岭生态环境保护条例》、《陕西省黄河流域生态保护和高质量发展规划》及中、省相关具体要求，开展《渭南市临渭区秦岭生态环境保护实施方案》实施成效评估和修编、《渭南市临渭区黄河流域生态保护和高质量发展规划》中期评估工作，精准识别实施成效、短板问题，衔接国、省、市最新战略部署与上位规划调整，确保秦岭与黄河流域的生态保护修复和高质量发展战略精准落地，为区域永续发展筑牢生态根基、提供绿色动力。</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1、营业执照：供应商须为具有独立承担民事责任能力的法人、其他组织或自然人，并提供有效的统一社会信用代码的营业执照或事业单位法人证书等国家规定的相关证明，自然人参与的提供其身份证明；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供应商法人授权：供应商应授权合法的人员参加竞争性磋商全过程，其中法定代表人直接参加竞争性磋商的，须出具法人身份证，并与营业执照上信息一致。法定代表人授权代表参加竞争性磋商的，须出具法定代表人授权书及授权代表身份证；</w:t>
      </w:r>
    </w:p>
    <w:p>
      <w:pPr>
        <w:pStyle w:val="null3"/>
      </w:pPr>
      <w:r>
        <w:rPr>
          <w:rFonts w:ascii="仿宋_GB2312" w:hAnsi="仿宋_GB2312" w:cs="仿宋_GB2312" w:eastAsia="仿宋_GB2312"/>
        </w:rPr>
        <w:t>3、税收缴纳证明和社会保障资金缴纳证明：①税收缴纳证明：提供截止至开标时间前一年内已缴纳的至少一个月的纳税证明或完税证明，依法免税的单位应提供相关证明材料；②社会保障资金缴纳证明：提供截止至开标时间前一年内至今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财务状况报告：提供2024年度财务审计报告（成立时间至提交响应文件截止时间不足一年的可提供成立后任意时段的资产负债表）或其基本存款账户开户银行出具的开标前六个月内资信证明及基本存款账户的开户证明或财政部门认可的政府采购专业担保机构出具的担保函；</w:t>
      </w:r>
    </w:p>
    <w:p>
      <w:pPr>
        <w:pStyle w:val="null3"/>
      </w:pPr>
      <w:r>
        <w:rPr>
          <w:rFonts w:ascii="仿宋_GB2312" w:hAnsi="仿宋_GB2312" w:cs="仿宋_GB2312" w:eastAsia="仿宋_GB2312"/>
        </w:rPr>
        <w:t>5、企业信誉：供应商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w:t>
      </w:r>
    </w:p>
    <w:p>
      <w:pPr>
        <w:pStyle w:val="null3"/>
      </w:pPr>
      <w:r>
        <w:rPr>
          <w:rFonts w:ascii="仿宋_GB2312" w:hAnsi="仿宋_GB2312" w:cs="仿宋_GB2312" w:eastAsia="仿宋_GB2312"/>
        </w:rPr>
        <w:t>6、提供参加本次政府采购活动前三年内在经营活动中没有重大违法记录的书面声明：提供参加本次政府采购活动前三年内在经营活动中没有重大违法记录的书面声明；</w:t>
      </w:r>
    </w:p>
    <w:p>
      <w:pPr>
        <w:pStyle w:val="null3"/>
      </w:pPr>
      <w:r>
        <w:rPr>
          <w:rFonts w:ascii="仿宋_GB2312" w:hAnsi="仿宋_GB2312" w:cs="仿宋_GB2312" w:eastAsia="仿宋_GB2312"/>
        </w:rPr>
        <w:t>7、提供具有履行合同所必须的设备和专业技术能力的承诺书：提供具有履行合同所必须的设备和专业技术能力的承诺书；</w:t>
      </w:r>
    </w:p>
    <w:p>
      <w:pPr>
        <w:pStyle w:val="null3"/>
      </w:pPr>
      <w:r>
        <w:rPr>
          <w:rFonts w:ascii="仿宋_GB2312" w:hAnsi="仿宋_GB2312" w:cs="仿宋_GB2312" w:eastAsia="仿宋_GB2312"/>
        </w:rPr>
        <w:t>8、供应商关联关系：单位负责人为同一人或者存在直接控股、管理关系的不同供应商，不得参加同一合同项下的政府采购活动；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9、联合体磋商：本项目不接受联合体磋商；</w:t>
      </w:r>
    </w:p>
    <w:p>
      <w:pPr>
        <w:pStyle w:val="null3"/>
      </w:pPr>
      <w:r>
        <w:rPr>
          <w:rFonts w:ascii="仿宋_GB2312" w:hAnsi="仿宋_GB2312" w:cs="仿宋_GB2312" w:eastAsia="仿宋_GB2312"/>
        </w:rPr>
        <w:t>10、投标保证金：投标保证金交纳凭证。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渭南市临渭区发展和改革局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渭南市东风街83号院内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13572564475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陕西克崎顶工程项目管理有限公司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陕西省渭南市临渭区陕西省渭南市临渭区金水路与胜利大街十字金水湾酒店十二楼1208室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18220302612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徐红军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开户名称：陕西克崎顶工程项目管理有限公司</w:t>
            </w:r>
          </w:p>
          <w:p>
            <w:pPr>
              <w:pStyle w:val="null3"/>
            </w:pPr>
            <w:r>
              <w:rPr>
                <w:rFonts w:ascii="仿宋_GB2312" w:hAnsi="仿宋_GB2312" w:cs="仿宋_GB2312" w:eastAsia="仿宋_GB2312"/>
              </w:rPr>
              <w:t>开户银行：长安银行股份有限公司渭南向阳支行</w:t>
            </w:r>
          </w:p>
          <w:p>
            <w:pPr>
              <w:pStyle w:val="null3"/>
            </w:pPr>
            <w:r>
              <w:rPr>
                <w:rFonts w:ascii="仿宋_GB2312" w:hAnsi="仿宋_GB2312" w:cs="仿宋_GB2312" w:eastAsia="仿宋_GB2312"/>
              </w:rPr>
              <w:t>银行账号：806040601421008611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人在领取成交通知书时应向采购代理机构一次性交纳招标代理服务费。招标代理服务费参照国家计委关于印发《招标代理服务收费管理暂行办法》的通知（计价格〔2002〕1980号）、国家发展改革委关于降低部分建设项目收费标准规范收费行为等有关问题的通知发改价格[2011]534号文件的规定计取。此服务费应计入投标报价中，但不需要单独开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渭南市临渭区发展和改革局</w:t>
      </w:r>
      <w:r>
        <w:rPr>
          <w:rFonts w:ascii="仿宋_GB2312" w:hAnsi="仿宋_GB2312" w:cs="仿宋_GB2312" w:eastAsia="仿宋_GB2312"/>
        </w:rPr>
        <w:t>和</w:t>
      </w:r>
      <w:r>
        <w:rPr>
          <w:rFonts w:ascii="仿宋_GB2312" w:hAnsi="仿宋_GB2312" w:cs="仿宋_GB2312" w:eastAsia="仿宋_GB2312"/>
        </w:rPr>
        <w:t>陕西克崎顶工程项目管理有限公司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渭南市临渭区发展和改革局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陕西克崎顶工程项目管理有限公司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渭南市临渭区发展和改革局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陕西克崎顶工程项目管理有限公司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符合国家标准、行业标准以及现行技术规范要求达到合格标准。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陕西克崎顶工程项目管理有限公司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陕西克崎顶工程项目管理有限公司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陕西克崎顶工程项目管理有限公司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联系人：张玲</w:t>
      </w:r>
    </w:p>
    <w:p>
      <w:pPr>
        <w:pStyle w:val="null3"/>
      </w:pPr>
      <w:r>
        <w:rPr>
          <w:rFonts w:ascii="仿宋_GB2312" w:hAnsi="仿宋_GB2312" w:cs="仿宋_GB2312" w:eastAsia="仿宋_GB2312"/>
        </w:rPr>
        <w:t>联系电话：18220302612</w:t>
      </w:r>
    </w:p>
    <w:p>
      <w:pPr>
        <w:pStyle w:val="null3"/>
      </w:pPr>
      <w:r>
        <w:rPr>
          <w:rFonts w:ascii="仿宋_GB2312" w:hAnsi="仿宋_GB2312" w:cs="仿宋_GB2312" w:eastAsia="仿宋_GB2312"/>
        </w:rPr>
        <w:t>地址：陕西省渭南市临渭区金水路与胜利大街十字金水湾酒店十二楼1205室</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全面落实省、市关于秦岭生态环境保护、黄河流域生态保护和高质量发展规划工作要求，依据《陕西省秦岭生态环境保护条例》、《陕西省黄河流域生态保护和高质量发展规划》及中、省相关具体要求，开展《渭南市临渭区秦岭生态环境保护实施方案》实施成效评估和修编、《渭南市临渭区黄河流域生态保护和高质量发展规划》中期评估工作，精准识别实施成效、短板问题，衔接国、省、市最新战略部署与上位规划调整，确保秦岭与黄河流域的生态保护修复和高质量发展战略精准落地，为区域永续发展筑牢生态根基、提供绿色动力。</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评估和修编技术服务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标的名称：评估和修编技术服务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outlineLvl w:val="2"/>
            </w:pPr>
            <w:r>
              <w:rPr>
                <w:rFonts w:ascii="仿宋_GB2312" w:hAnsi="仿宋_GB2312" w:cs="仿宋_GB2312" w:eastAsia="仿宋_GB2312"/>
                <w:sz w:val="24"/>
                <w:b/>
              </w:rPr>
              <w:t>一、项目概况</w:t>
            </w:r>
          </w:p>
          <w:p>
            <w:pPr>
              <w:pStyle w:val="null3"/>
              <w:jc w:val="left"/>
              <w:outlineLvl w:val="2"/>
            </w:pPr>
            <w:r>
              <w:rPr>
                <w:rFonts w:ascii="仿宋_GB2312" w:hAnsi="仿宋_GB2312" w:cs="仿宋_GB2312" w:eastAsia="仿宋_GB2312"/>
                <w:sz w:val="21"/>
                <w:b/>
              </w:rPr>
              <w:t xml:space="preserve">    为全面落实省、市关于秦岭生态环境保护、黄河流域生态保护和高质量发展规划工作要求，依据《陕西省秦岭生态环境保护条例》、《陕西省黄河流域生态保护和高质量发展规划》及中、省相关具体要求，开展《渭南市临渭区秦岭生态环境保护实施方案》实施成效评估和修编、《渭南市临渭区黄河流域生态保护和高质量发展规划》中期评估工作。</w:t>
            </w:r>
          </w:p>
          <w:p>
            <w:pPr>
              <w:pStyle w:val="null3"/>
              <w:jc w:val="left"/>
              <w:outlineLvl w:val="2"/>
            </w:pPr>
            <w:r>
              <w:rPr>
                <w:rFonts w:ascii="仿宋_GB2312" w:hAnsi="仿宋_GB2312" w:cs="仿宋_GB2312" w:eastAsia="仿宋_GB2312"/>
                <w:sz w:val="21"/>
                <w:b/>
              </w:rPr>
              <w:t>二、总体目标</w:t>
            </w:r>
          </w:p>
          <w:p>
            <w:pPr>
              <w:pStyle w:val="null3"/>
              <w:jc w:val="left"/>
              <w:outlineLvl w:val="2"/>
            </w:pPr>
            <w:r>
              <w:rPr>
                <w:rFonts w:ascii="仿宋_GB2312" w:hAnsi="仿宋_GB2312" w:cs="仿宋_GB2312" w:eastAsia="仿宋_GB2312"/>
                <w:sz w:val="21"/>
                <w:b/>
              </w:rPr>
              <w:t xml:space="preserve">    完成《渭南市临渭区秦岭生态环境保护实施方案》（简称《实施方案》）实施成效评估和修编工作。系统评估植被保护、水源涵养、生物多样性保护、矿山修复、环境整治等任务的实施成效，识别《实施方案》的短板与突出问题，提出下一步工作建议，形成评估报告。结合秦岭生态环境保护最新形势，衔接上位规划提出的最新要求，优化保护目标、空间管控、重点任务、重点项目与保障措施，科学修编方案内容，形成务实、可落地、可考核的修编成果，为秦岭临渭段生态保护修复、长效监管与资金项目申报提供技术支撑，持续筑牢秦岭生态安全屏障。</w:t>
            </w:r>
          </w:p>
          <w:p>
            <w:pPr>
              <w:pStyle w:val="null3"/>
              <w:jc w:val="left"/>
              <w:outlineLvl w:val="2"/>
            </w:pPr>
            <w:r>
              <w:rPr>
                <w:rFonts w:ascii="仿宋_GB2312" w:hAnsi="仿宋_GB2312" w:cs="仿宋_GB2312" w:eastAsia="仿宋_GB2312"/>
                <w:sz w:val="21"/>
                <w:b/>
              </w:rPr>
              <w:t xml:space="preserve">    完成《渭南市临渭区黄河流域生态保护和高质量发展规划》（简称《保护与发展规划》）中期评估工作。梳理《生态保护与发展规划》实施以来生态保护、环境治理、水资源利用、绿色发展等重点任务落实情况，客观评价阶段成效和指标完成情况，查摆存在问题与存在的困难，提出优化完善建议，形成规范、详实的中期评估报告，为规划后续实施、任务调整及区域高质量发展提供科学依据，为区域生态保护和高质量发展筑牢生态根基、提供绿色动力。</w:t>
            </w:r>
          </w:p>
          <w:p>
            <w:pPr>
              <w:pStyle w:val="null3"/>
              <w:jc w:val="left"/>
              <w:outlineLvl w:val="1"/>
            </w:pPr>
            <w:r>
              <w:rPr>
                <w:rFonts w:ascii="仿宋_GB2312" w:hAnsi="仿宋_GB2312" w:cs="仿宋_GB2312" w:eastAsia="仿宋_GB2312"/>
                <w:sz w:val="21"/>
                <w:b/>
              </w:rPr>
              <w:t>三、服务范围与核心内容</w:t>
            </w:r>
          </w:p>
          <w:p>
            <w:pPr>
              <w:pStyle w:val="null3"/>
              <w:jc w:val="left"/>
              <w:outlineLvl w:val="2"/>
            </w:pPr>
            <w:r>
              <w:rPr>
                <w:rFonts w:ascii="仿宋_GB2312" w:hAnsi="仿宋_GB2312" w:cs="仿宋_GB2312" w:eastAsia="仿宋_GB2312"/>
                <w:sz w:val="21"/>
                <w:b/>
              </w:rPr>
              <w:t>（一）秦岭生态环境保护实施方案成效评估与修编</w:t>
            </w:r>
          </w:p>
          <w:p>
            <w:pPr>
              <w:pStyle w:val="null3"/>
              <w:jc w:val="left"/>
              <w:outlineLvl w:val="3"/>
            </w:pPr>
            <w:r>
              <w:rPr>
                <w:rFonts w:ascii="仿宋_GB2312" w:hAnsi="仿宋_GB2312" w:cs="仿宋_GB2312" w:eastAsia="仿宋_GB2312"/>
                <w:sz w:val="21"/>
                <w:b/>
              </w:rPr>
              <w:t>1、《实施方案》评估</w:t>
            </w:r>
          </w:p>
          <w:p>
            <w:pPr>
              <w:pStyle w:val="null3"/>
              <w:jc w:val="left"/>
              <w:outlineLvl w:val="3"/>
            </w:pPr>
            <w:r>
              <w:rPr>
                <w:rFonts w:ascii="仿宋_GB2312" w:hAnsi="仿宋_GB2312" w:cs="仿宋_GB2312" w:eastAsia="仿宋_GB2312"/>
                <w:sz w:val="21"/>
                <w:b/>
              </w:rPr>
              <w:t>（1）基础调研与现状研判</w:t>
            </w:r>
          </w:p>
          <w:p>
            <w:pPr>
              <w:pStyle w:val="null3"/>
              <w:ind w:firstLine="480"/>
              <w:jc w:val="left"/>
            </w:pPr>
            <w:r>
              <w:rPr>
                <w:rFonts w:ascii="仿宋_GB2312" w:hAnsi="仿宋_GB2312" w:cs="仿宋_GB2312" w:eastAsia="仿宋_GB2312"/>
                <w:sz w:val="21"/>
              </w:rPr>
              <w:t>资料收集</w:t>
            </w:r>
            <w:r>
              <w:rPr>
                <w:rFonts w:ascii="仿宋_GB2312" w:hAnsi="仿宋_GB2312" w:cs="仿宋_GB2312" w:eastAsia="仿宋_GB2312"/>
                <w:sz w:val="21"/>
                <w:b/>
              </w:rPr>
              <w:t>：</w:t>
            </w:r>
            <w:r>
              <w:rPr>
                <w:rFonts w:ascii="仿宋_GB2312" w:hAnsi="仿宋_GB2312" w:cs="仿宋_GB2312" w:eastAsia="仿宋_GB2312"/>
                <w:sz w:val="21"/>
              </w:rPr>
              <w:t>收集2021-2025年生态环境、自然资源、经济社会、土地利用、项目实施数据，提供高分辨率遥感影像（分辨率优于1米）、基础地理信息数据等。</w:t>
            </w:r>
          </w:p>
          <w:p>
            <w:pPr>
              <w:pStyle w:val="null3"/>
              <w:ind w:firstLine="480"/>
              <w:jc w:val="left"/>
            </w:pPr>
            <w:r>
              <w:rPr>
                <w:rFonts w:ascii="仿宋_GB2312" w:hAnsi="仿宋_GB2312" w:cs="仿宋_GB2312" w:eastAsia="仿宋_GB2312"/>
                <w:sz w:val="21"/>
              </w:rPr>
              <w:t>实地调研</w:t>
            </w:r>
            <w:r>
              <w:rPr>
                <w:rFonts w:ascii="仿宋_GB2312" w:hAnsi="仿宋_GB2312" w:cs="仿宋_GB2312" w:eastAsia="仿宋_GB2312"/>
                <w:sz w:val="21"/>
                <w:b/>
              </w:rPr>
              <w:t>：</w:t>
            </w:r>
            <w:r>
              <w:rPr>
                <w:rFonts w:ascii="仿宋_GB2312" w:hAnsi="仿宋_GB2312" w:cs="仿宋_GB2312" w:eastAsia="仿宋_GB2312"/>
                <w:sz w:val="21"/>
              </w:rPr>
              <w:t>覆盖秦岭临渭段主要河流、森林公园、湿地公园重点生态工程、水环境断面、城乡人居环境等关键区域。</w:t>
            </w:r>
          </w:p>
          <w:p>
            <w:pPr>
              <w:pStyle w:val="null3"/>
              <w:ind w:firstLine="480"/>
              <w:jc w:val="left"/>
            </w:pPr>
            <w:r>
              <w:rPr>
                <w:rFonts w:ascii="仿宋_GB2312" w:hAnsi="仿宋_GB2312" w:cs="仿宋_GB2312" w:eastAsia="仿宋_GB2312"/>
                <w:sz w:val="21"/>
              </w:rPr>
              <w:t>现状分析</w:t>
            </w:r>
            <w:r>
              <w:rPr>
                <w:rFonts w:ascii="仿宋_GB2312" w:hAnsi="仿宋_GB2312" w:cs="仿宋_GB2312" w:eastAsia="仿宋_GB2312"/>
                <w:sz w:val="21"/>
                <w:b/>
              </w:rPr>
              <w:t>：</w:t>
            </w:r>
            <w:r>
              <w:rPr>
                <w:rFonts w:ascii="仿宋_GB2312" w:hAnsi="仿宋_GB2312" w:cs="仿宋_GB2312" w:eastAsia="仿宋_GB2312"/>
                <w:sz w:val="21"/>
              </w:rPr>
              <w:t>通过数据资料定量分析秦岭临渭段的生态环境现状及关键指标情况，包括核心保护区、重点保护区、一般保护区及建设控制地带的空间管控、森林覆盖率、水源涵养、生物多样性、矿山修复、违规建设整治成效。</w:t>
            </w:r>
          </w:p>
          <w:p>
            <w:pPr>
              <w:pStyle w:val="null3"/>
              <w:jc w:val="left"/>
              <w:outlineLvl w:val="3"/>
            </w:pPr>
            <w:r>
              <w:rPr>
                <w:rFonts w:ascii="仿宋_GB2312" w:hAnsi="仿宋_GB2312" w:cs="仿宋_GB2312" w:eastAsia="仿宋_GB2312"/>
                <w:sz w:val="21"/>
                <w:b/>
              </w:rPr>
              <w:t>（2）规划实施评估</w:t>
            </w:r>
          </w:p>
          <w:p>
            <w:pPr>
              <w:pStyle w:val="null3"/>
              <w:ind w:firstLine="480"/>
              <w:jc w:val="left"/>
            </w:pPr>
            <w:r>
              <w:rPr>
                <w:rFonts w:ascii="仿宋_GB2312" w:hAnsi="仿宋_GB2312" w:cs="仿宋_GB2312" w:eastAsia="仿宋_GB2312"/>
                <w:sz w:val="21"/>
              </w:rPr>
              <w:t>指标评估：对照《实施方案》中的约束性、预期性指标，通过数据分析、资料分析、调查研究的方法核算指标完成情况，分析未达标原因。</w:t>
            </w:r>
          </w:p>
          <w:p>
            <w:pPr>
              <w:pStyle w:val="null3"/>
              <w:ind w:firstLine="480"/>
              <w:jc w:val="left"/>
            </w:pPr>
            <w:r>
              <w:rPr>
                <w:rFonts w:ascii="仿宋_GB2312" w:hAnsi="仿宋_GB2312" w:cs="仿宋_GB2312" w:eastAsia="仿宋_GB2312"/>
                <w:sz w:val="21"/>
              </w:rPr>
              <w:t>工作评估：评估《实施方案》中生态保护与修复、水资源保护、污染防治、生物多样性保护、历史文化资源保护、绿色发展与民生改善等任务推进实效。</w:t>
            </w:r>
          </w:p>
          <w:p>
            <w:pPr>
              <w:pStyle w:val="null3"/>
              <w:ind w:firstLine="480"/>
              <w:jc w:val="left"/>
            </w:pPr>
            <w:r>
              <w:rPr>
                <w:rFonts w:ascii="仿宋_GB2312" w:hAnsi="仿宋_GB2312" w:cs="仿宋_GB2312" w:eastAsia="仿宋_GB2312"/>
                <w:sz w:val="21"/>
              </w:rPr>
              <w:t>项目评估：梳理《实施方案》中项目落地情况、资金完成情况、实施效益，梳理未实施、缓实施项目原因。</w:t>
            </w:r>
          </w:p>
          <w:p>
            <w:pPr>
              <w:pStyle w:val="null3"/>
              <w:ind w:firstLine="480"/>
              <w:jc w:val="left"/>
            </w:pPr>
            <w:r>
              <w:rPr>
                <w:rFonts w:ascii="仿宋_GB2312" w:hAnsi="仿宋_GB2312" w:cs="仿宋_GB2312" w:eastAsia="仿宋_GB2312"/>
                <w:sz w:val="21"/>
              </w:rPr>
              <w:t>机制评估：评估临渭区秦岭生态保护工作的监督管理、保障措施、公众参与等体制机制效果。</w:t>
            </w:r>
          </w:p>
          <w:p>
            <w:pPr>
              <w:pStyle w:val="null3"/>
              <w:ind w:firstLine="480"/>
              <w:jc w:val="left"/>
            </w:pPr>
            <w:r>
              <w:rPr>
                <w:rFonts w:ascii="仿宋_GB2312" w:hAnsi="仿宋_GB2312" w:cs="仿宋_GB2312" w:eastAsia="仿宋_GB2312"/>
                <w:sz w:val="21"/>
              </w:rPr>
              <w:t>问题识别：识别秦岭生态环境保护在空间管控、水环境治理、水土流失治理、绿色产业发展、项目资金保障等方面的不足，提出相应的优化建议。</w:t>
            </w:r>
          </w:p>
          <w:p>
            <w:pPr>
              <w:pStyle w:val="null3"/>
              <w:jc w:val="left"/>
              <w:outlineLvl w:val="3"/>
            </w:pPr>
            <w:r>
              <w:rPr>
                <w:rFonts w:ascii="仿宋_GB2312" w:hAnsi="仿宋_GB2312" w:cs="仿宋_GB2312" w:eastAsia="仿宋_GB2312"/>
                <w:sz w:val="21"/>
                <w:b/>
              </w:rPr>
              <w:t>（3）评估成果编制</w:t>
            </w:r>
          </w:p>
          <w:p>
            <w:pPr>
              <w:pStyle w:val="null3"/>
              <w:ind w:firstLine="480"/>
              <w:jc w:val="left"/>
            </w:pPr>
            <w:r>
              <w:rPr>
                <w:rFonts w:ascii="仿宋_GB2312" w:hAnsi="仿宋_GB2312" w:cs="仿宋_GB2312" w:eastAsia="仿宋_GB2312"/>
                <w:sz w:val="21"/>
              </w:rPr>
              <w:t>编制完成《渭南市临渭区秦岭生态环境保护实施方案》评估报告(暂名)，协助采购方完成评估报告评审、公示、报备工作，提供技术支持。</w:t>
            </w:r>
          </w:p>
          <w:p>
            <w:pPr>
              <w:pStyle w:val="null3"/>
              <w:jc w:val="left"/>
              <w:outlineLvl w:val="3"/>
            </w:pPr>
            <w:r>
              <w:rPr>
                <w:rFonts w:ascii="仿宋_GB2312" w:hAnsi="仿宋_GB2312" w:cs="仿宋_GB2312" w:eastAsia="仿宋_GB2312"/>
                <w:sz w:val="21"/>
                <w:b/>
              </w:rPr>
              <w:t>2</w:t>
            </w:r>
            <w:r>
              <w:rPr>
                <w:rFonts w:ascii="仿宋_GB2312" w:hAnsi="仿宋_GB2312" w:cs="仿宋_GB2312" w:eastAsia="仿宋_GB2312"/>
                <w:sz w:val="21"/>
                <w:b/>
              </w:rPr>
              <w:t>、《实施方案》修编</w:t>
            </w:r>
          </w:p>
          <w:p>
            <w:pPr>
              <w:pStyle w:val="null3"/>
              <w:ind w:firstLine="482"/>
              <w:jc w:val="left"/>
            </w:pPr>
            <w:r>
              <w:rPr>
                <w:rFonts w:ascii="仿宋_GB2312" w:hAnsi="仿宋_GB2312" w:cs="仿宋_GB2312" w:eastAsia="仿宋_GB2312"/>
                <w:sz w:val="21"/>
                <w:b/>
              </w:rPr>
              <w:t>（1）修编依据与思路</w:t>
            </w:r>
          </w:p>
          <w:p>
            <w:pPr>
              <w:pStyle w:val="null3"/>
              <w:ind w:firstLine="480"/>
              <w:jc w:val="left"/>
            </w:pPr>
            <w:r>
              <w:rPr>
                <w:rFonts w:ascii="仿宋_GB2312" w:hAnsi="仿宋_GB2312" w:cs="仿宋_GB2312" w:eastAsia="仿宋_GB2312"/>
                <w:sz w:val="21"/>
              </w:rPr>
              <w:t>政策依据：《陕西省秦岭生态环境保护条例》、《渭南市秦岭生态环境保护规划》、《临渭区国土空间总体规划（2021-2035年）》。</w:t>
            </w:r>
          </w:p>
          <w:p>
            <w:pPr>
              <w:pStyle w:val="null3"/>
              <w:ind w:firstLine="480"/>
              <w:jc w:val="left"/>
            </w:pPr>
            <w:r>
              <w:rPr>
                <w:rFonts w:ascii="仿宋_GB2312" w:hAnsi="仿宋_GB2312" w:cs="仿宋_GB2312" w:eastAsia="仿宋_GB2312"/>
                <w:sz w:val="21"/>
              </w:rPr>
              <w:t>修编原则：保护优先、绿色发展、问题导向、上下衔接、因地制宜、务实管用。</w:t>
            </w:r>
          </w:p>
          <w:p>
            <w:pPr>
              <w:pStyle w:val="null3"/>
              <w:ind w:firstLine="480"/>
              <w:jc w:val="left"/>
            </w:pPr>
            <w:r>
              <w:rPr>
                <w:rFonts w:ascii="仿宋_GB2312" w:hAnsi="仿宋_GB2312" w:cs="仿宋_GB2312" w:eastAsia="仿宋_GB2312"/>
                <w:sz w:val="21"/>
              </w:rPr>
              <w:t>服务范围：覆盖渭南市临渭区秦岭生态环境保护全域，包括核心保护区、重点保护区、一般保护区和建设控制地带，确保修编内容全面覆盖临渭区秦岭生态保护各重点领域和关键节点。</w:t>
            </w:r>
          </w:p>
          <w:p>
            <w:pPr>
              <w:pStyle w:val="null3"/>
              <w:ind w:firstLine="480"/>
              <w:jc w:val="left"/>
            </w:pPr>
            <w:r>
              <w:rPr>
                <w:rFonts w:ascii="仿宋_GB2312" w:hAnsi="仿宋_GB2312" w:cs="仿宋_GB2312" w:eastAsia="仿宋_GB2312"/>
                <w:sz w:val="21"/>
              </w:rPr>
              <w:t>规划期限：修编后规划期为2026-2030年，远期至2035年。</w:t>
            </w:r>
          </w:p>
          <w:p>
            <w:pPr>
              <w:pStyle w:val="null3"/>
              <w:ind w:firstLine="482"/>
              <w:jc w:val="left"/>
            </w:pPr>
            <w:r>
              <w:rPr>
                <w:rFonts w:ascii="仿宋_GB2312" w:hAnsi="仿宋_GB2312" w:cs="仿宋_GB2312" w:eastAsia="仿宋_GB2312"/>
                <w:sz w:val="21"/>
                <w:b/>
              </w:rPr>
              <w:t>（2）核心内容修编</w:t>
            </w:r>
          </w:p>
          <w:p>
            <w:pPr>
              <w:pStyle w:val="null3"/>
              <w:ind w:firstLine="480"/>
              <w:jc w:val="left"/>
            </w:pPr>
            <w:r>
              <w:rPr>
                <w:rFonts w:ascii="仿宋_GB2312" w:hAnsi="仿宋_GB2312" w:cs="仿宋_GB2312" w:eastAsia="仿宋_GB2312"/>
                <w:sz w:val="21"/>
              </w:rPr>
              <w:t>基础调研与现状梳理：系统收集上位政策、规划及临渭区秦岭生态保护相关监测数据、工程资料，开展实地调查，梳理方案实施以来的成效、短板和发展新形势，明确修编方向。</w:t>
            </w:r>
          </w:p>
          <w:p>
            <w:pPr>
              <w:pStyle w:val="null3"/>
              <w:ind w:firstLine="480"/>
              <w:jc w:val="left"/>
            </w:pPr>
            <w:r>
              <w:rPr>
                <w:rFonts w:ascii="仿宋_GB2312" w:hAnsi="仿宋_GB2312" w:cs="仿宋_GB2312" w:eastAsia="仿宋_GB2312"/>
                <w:sz w:val="21"/>
              </w:rPr>
              <w:t>目标指标优化：结合国家、省、市秦岭生态保护最新政策要求，立足临渭区实际，优化完善方案总体目标、阶段性目标，细化植被覆盖、水源涵养、生物多样性保护等核心量化指标，确保目标科学可行、衔接上位规划。</w:t>
            </w:r>
          </w:p>
          <w:p>
            <w:pPr>
              <w:pStyle w:val="null3"/>
              <w:ind w:firstLine="480"/>
              <w:jc w:val="left"/>
            </w:pPr>
            <w:r>
              <w:rPr>
                <w:rFonts w:ascii="仿宋_GB2312" w:hAnsi="仿宋_GB2312" w:cs="仿宋_GB2312" w:eastAsia="仿宋_GB2312"/>
                <w:sz w:val="21"/>
              </w:rPr>
              <w:t>重点任务修编：针对现状问题，优化空间管控、植被保护与恢复、水源涵养、矿山生态修复、生态环境整治等重点任务，明确任务分工、实施路径和时间节点，增加符合临渭区实际的特色任务。</w:t>
            </w:r>
          </w:p>
          <w:p>
            <w:pPr>
              <w:pStyle w:val="null3"/>
              <w:ind w:firstLine="480"/>
              <w:jc w:val="left"/>
            </w:pPr>
            <w:r>
              <w:rPr>
                <w:rFonts w:ascii="仿宋_GB2312" w:hAnsi="仿宋_GB2312" w:cs="仿宋_GB2312" w:eastAsia="仿宋_GB2312"/>
                <w:sz w:val="21"/>
              </w:rPr>
              <w:t>保障措施完善：优化政策支撑、资金投入、技术保障、公众参与、监督考核等保障措施，增强措施的针对性和可操作性，确保修编后方案能够落地见效。</w:t>
            </w:r>
          </w:p>
          <w:p>
            <w:pPr>
              <w:pStyle w:val="null3"/>
              <w:ind w:firstLine="482"/>
              <w:jc w:val="left"/>
            </w:pPr>
            <w:r>
              <w:rPr>
                <w:rFonts w:ascii="仿宋_GB2312" w:hAnsi="仿宋_GB2312" w:cs="仿宋_GB2312" w:eastAsia="仿宋_GB2312"/>
                <w:sz w:val="21"/>
                <w:b/>
              </w:rPr>
              <w:t>（3）成果编制与论证</w:t>
            </w:r>
          </w:p>
          <w:p>
            <w:pPr>
              <w:pStyle w:val="null3"/>
              <w:ind w:firstLine="480"/>
              <w:jc w:val="left"/>
            </w:pPr>
            <w:r>
              <w:rPr>
                <w:rFonts w:ascii="仿宋_GB2312" w:hAnsi="仿宋_GB2312" w:cs="仿宋_GB2312" w:eastAsia="仿宋_GB2312"/>
                <w:sz w:val="21"/>
              </w:rPr>
              <w:t>编制完成《渭南市临渭区秦岭生态环境保护实施方案》（暂名）修编文本、图册，组织专家论证、征求相关部门及公众意见，根据反馈优化完善，形成最终修编成果，确保成果规范、有效、可行。</w:t>
            </w:r>
          </w:p>
          <w:p>
            <w:pPr>
              <w:pStyle w:val="null3"/>
              <w:jc w:val="left"/>
              <w:outlineLvl w:val="2"/>
            </w:pPr>
            <w:r>
              <w:rPr>
                <w:rFonts w:ascii="仿宋_GB2312" w:hAnsi="仿宋_GB2312" w:cs="仿宋_GB2312" w:eastAsia="仿宋_GB2312"/>
                <w:sz w:val="21"/>
                <w:b/>
              </w:rPr>
              <w:t>（二）《渭南市临渭区黄河流域生态保护和高质量发展规划》中期评估</w:t>
            </w:r>
          </w:p>
          <w:p>
            <w:pPr>
              <w:pStyle w:val="null3"/>
              <w:ind w:firstLine="482"/>
              <w:jc w:val="left"/>
            </w:pPr>
            <w:r>
              <w:rPr>
                <w:rFonts w:ascii="仿宋_GB2312" w:hAnsi="仿宋_GB2312" w:cs="仿宋_GB2312" w:eastAsia="仿宋_GB2312"/>
                <w:sz w:val="21"/>
                <w:b/>
              </w:rPr>
              <w:t>（1）服务范围</w:t>
            </w:r>
          </w:p>
          <w:p>
            <w:pPr>
              <w:pStyle w:val="null3"/>
              <w:ind w:firstLine="480"/>
              <w:jc w:val="left"/>
            </w:pPr>
            <w:r>
              <w:rPr>
                <w:rFonts w:ascii="仿宋_GB2312" w:hAnsi="仿宋_GB2312" w:cs="仿宋_GB2312" w:eastAsia="仿宋_GB2312"/>
                <w:sz w:val="21"/>
              </w:rPr>
              <w:t>本次中期评估服务范围覆盖渭南市临渭区全域，重点聚焦黄河流域临渭段核心区域，包括渭河、沋河等黄河支流沿岸、黄渭洛河交汇区、湿地保护区、灌区节水改造区及生态保护红线管控区域，涵盖临渭区辖区内涉及黄河流域生态保护、环境治理、水资源利用、绿色发展等相关领域的所有乡镇（街道），确保评估全面覆盖规划实施的各个区域和关键环节。</w:t>
            </w:r>
          </w:p>
          <w:p>
            <w:pPr>
              <w:pStyle w:val="null3"/>
              <w:ind w:firstLine="482"/>
              <w:jc w:val="left"/>
            </w:pPr>
            <w:r>
              <w:rPr>
                <w:rFonts w:ascii="仿宋_GB2312" w:hAnsi="仿宋_GB2312" w:cs="仿宋_GB2312" w:eastAsia="仿宋_GB2312"/>
                <w:sz w:val="21"/>
                <w:b/>
              </w:rPr>
              <w:t>（2）核心内容</w:t>
            </w:r>
          </w:p>
          <w:p>
            <w:pPr>
              <w:pStyle w:val="null3"/>
              <w:ind w:firstLine="480"/>
              <w:jc w:val="left"/>
            </w:pPr>
            <w:r>
              <w:rPr>
                <w:rFonts w:ascii="仿宋_GB2312" w:hAnsi="仿宋_GB2312" w:cs="仿宋_GB2312" w:eastAsia="仿宋_GB2312"/>
                <w:sz w:val="21"/>
              </w:rPr>
              <w:t>基础资料收集与梳理：系统收集国家、省、市关于黄河流域生态保护和高质量发展的最新政策、上位规划，以及临渭区规划实施以来的生态监测数据、工程实施资料、部门工作总结等相关资料，完成资料汇总、整理与分析，明确评估基础。</w:t>
            </w:r>
          </w:p>
          <w:p>
            <w:pPr>
              <w:pStyle w:val="null3"/>
              <w:ind w:firstLine="480"/>
              <w:jc w:val="left"/>
            </w:pPr>
            <w:r>
              <w:rPr>
                <w:rFonts w:ascii="仿宋_GB2312" w:hAnsi="仿宋_GB2312" w:cs="仿宋_GB2312" w:eastAsia="仿宋_GB2312"/>
                <w:sz w:val="21"/>
              </w:rPr>
              <w:t>规划实施现状评估：梳理规划中期阶段生态保护、环境治理、水资源保护与利用、绿色产业发展、民生保障等重点任务的落实情况，量化评估核心指标完成进度，客观分析规划实施取得的阶段性成效。</w:t>
            </w:r>
          </w:p>
          <w:p>
            <w:pPr>
              <w:pStyle w:val="null3"/>
              <w:ind w:firstLine="480"/>
              <w:jc w:val="left"/>
            </w:pPr>
            <w:r>
              <w:rPr>
                <w:rFonts w:ascii="仿宋_GB2312" w:hAnsi="仿宋_GB2312" w:cs="仿宋_GB2312" w:eastAsia="仿宋_GB2312"/>
                <w:sz w:val="21"/>
              </w:rPr>
              <w:t>问题查摆与原因分析：识别规划实施过程中存在的突出问题、实施堵点及薄弱环节，分析实施成效不明显、资金投入不足、部门协同不畅、措施落地乏力等问题成因，明确整改方向。</w:t>
            </w:r>
          </w:p>
          <w:p>
            <w:pPr>
              <w:pStyle w:val="null3"/>
              <w:ind w:firstLine="480"/>
              <w:jc w:val="left"/>
            </w:pPr>
            <w:r>
              <w:rPr>
                <w:rFonts w:ascii="仿宋_GB2312" w:hAnsi="仿宋_GB2312" w:cs="仿宋_GB2312" w:eastAsia="仿宋_GB2312"/>
                <w:sz w:val="21"/>
              </w:rPr>
              <w:t>优化建议提出：结合国家战略调整、区域发展新形势及临渭区实际，针对查摆的问题，提出科学合理、切实可行的优化完善建议，为规划后续实施、任务调整、措施优化提供支撑。</w:t>
            </w:r>
          </w:p>
          <w:p>
            <w:pPr>
              <w:pStyle w:val="null3"/>
              <w:ind w:firstLine="482"/>
              <w:jc w:val="left"/>
            </w:pPr>
            <w:r>
              <w:rPr>
                <w:rFonts w:ascii="仿宋_GB2312" w:hAnsi="仿宋_GB2312" w:cs="仿宋_GB2312" w:eastAsia="仿宋_GB2312"/>
                <w:sz w:val="21"/>
                <w:b/>
              </w:rPr>
              <w:t>（3）评估成果编制</w:t>
            </w:r>
          </w:p>
          <w:p>
            <w:pPr>
              <w:pStyle w:val="null3"/>
              <w:ind w:firstLine="480"/>
              <w:jc w:val="left"/>
            </w:pPr>
            <w:r>
              <w:rPr>
                <w:rFonts w:ascii="仿宋_GB2312" w:hAnsi="仿宋_GB2312" w:cs="仿宋_GB2312" w:eastAsia="仿宋_GB2312"/>
                <w:sz w:val="21"/>
              </w:rPr>
              <w:t>编制完成《渭南市临渭区黄河流域生态保护和高质量发展规划》中期评估报告（暂名），梳理评估结论、问题清单及优化建议，组织专家论证、征求相关部门意见，根据反馈意见修改完善，形成最终中期评估成果，确保成果符合相关标准和实际需求。</w:t>
            </w:r>
          </w:p>
          <w:p>
            <w:pPr>
              <w:pStyle w:val="null3"/>
              <w:ind w:firstLine="480"/>
              <w:jc w:val="left"/>
            </w:pPr>
            <w:r>
              <w:rPr>
                <w:rFonts w:ascii="仿宋_GB2312" w:hAnsi="仿宋_GB2312" w:cs="仿宋_GB2312" w:eastAsia="仿宋_GB2312"/>
                <w:sz w:val="21"/>
              </w:rPr>
              <w:t>制作完成渭南市临渭区黄河流域生态保护和高质量发展系列挂图，依据《渭南市临渭区黄河流域生态保护和高质量发展规划》主要内容、中期评估结果，结合临渭区当前保护发展现状，整合相关数据、信息，编制系列挂图，可应用于部门日常管理工作、工作成效核查、政策宣传解读等场景，呈现临渭区在黄河流域生态保护与高质量发展领域的工作举措和阶段成效，为相关工作提供直观、清晰的可视化参考。</w:t>
            </w:r>
          </w:p>
          <w:p>
            <w:pPr>
              <w:pStyle w:val="null3"/>
              <w:jc w:val="left"/>
              <w:outlineLvl w:val="1"/>
            </w:pPr>
            <w:r>
              <w:rPr>
                <w:rFonts w:ascii="仿宋_GB2312" w:hAnsi="仿宋_GB2312" w:cs="仿宋_GB2312" w:eastAsia="仿宋_GB2312"/>
                <w:sz w:val="21"/>
                <w:b/>
              </w:rPr>
              <w:t>四、服务要求</w:t>
            </w:r>
          </w:p>
          <w:p>
            <w:pPr>
              <w:pStyle w:val="null3"/>
              <w:ind w:firstLine="482"/>
              <w:jc w:val="left"/>
            </w:pPr>
            <w:r>
              <w:rPr>
                <w:rFonts w:ascii="仿宋_GB2312" w:hAnsi="仿宋_GB2312" w:cs="仿宋_GB2312" w:eastAsia="仿宋_GB2312"/>
                <w:sz w:val="21"/>
                <w:b/>
              </w:rPr>
              <w:t>（一）服务要求</w:t>
            </w:r>
          </w:p>
          <w:p>
            <w:pPr>
              <w:pStyle w:val="null3"/>
              <w:ind w:firstLine="480"/>
              <w:jc w:val="left"/>
            </w:pPr>
            <w:r>
              <w:rPr>
                <w:rFonts w:ascii="仿宋_GB2312" w:hAnsi="仿宋_GB2312" w:cs="仿宋_GB2312" w:eastAsia="仿宋_GB2312"/>
                <w:sz w:val="21"/>
              </w:rPr>
              <w:t>1、服务商须认真组织项目团队，确定项目负责人，项目组团队具有相应的专业资格、政治素质和业务素质。</w:t>
            </w:r>
          </w:p>
          <w:p>
            <w:pPr>
              <w:pStyle w:val="null3"/>
              <w:ind w:firstLine="480"/>
              <w:jc w:val="left"/>
            </w:pPr>
            <w:r>
              <w:rPr>
                <w:rFonts w:ascii="仿宋_GB2312" w:hAnsi="仿宋_GB2312" w:cs="仿宋_GB2312" w:eastAsia="仿宋_GB2312"/>
                <w:sz w:val="21"/>
              </w:rPr>
              <w:t>2、服务商项目团队须熟悉生态环境保护、自然资源调查相关规范标准，熟悉区域保护和发展现状，遵循秦岭保护的政策法规、紧贴上位规划及规范指南的要求。</w:t>
            </w:r>
          </w:p>
          <w:p>
            <w:pPr>
              <w:pStyle w:val="null3"/>
              <w:ind w:firstLine="480"/>
              <w:jc w:val="left"/>
            </w:pPr>
            <w:r>
              <w:rPr>
                <w:rFonts w:ascii="仿宋_GB2312" w:hAnsi="仿宋_GB2312" w:cs="仿宋_GB2312" w:eastAsia="仿宋_GB2312"/>
                <w:sz w:val="21"/>
              </w:rPr>
              <w:t>3、服务商能够收集、提供所需的数据资料，不增加额外费用，涉密数据资料使用和保管应符合涉密资料管理相关法律法规，服务商对工作过程中知悉的体制、机制、情况等具有保密义务。</w:t>
            </w:r>
          </w:p>
          <w:p>
            <w:pPr>
              <w:pStyle w:val="null3"/>
              <w:ind w:firstLine="480"/>
              <w:jc w:val="left"/>
            </w:pPr>
            <w:r>
              <w:rPr>
                <w:rFonts w:ascii="仿宋_GB2312" w:hAnsi="仿宋_GB2312" w:cs="仿宋_GB2312" w:eastAsia="仿宋_GB2312"/>
                <w:sz w:val="21"/>
              </w:rPr>
              <w:t>4、服务商具备全流程技术服务能力，能够在规划期内提供长期的技术支持与服务，可依托科研机构提供技术支撑。</w:t>
            </w:r>
          </w:p>
          <w:p>
            <w:pPr>
              <w:pStyle w:val="null3"/>
              <w:ind w:firstLine="482"/>
              <w:jc w:val="left"/>
            </w:pPr>
            <w:r>
              <w:rPr>
                <w:rFonts w:ascii="仿宋_GB2312" w:hAnsi="仿宋_GB2312" w:cs="仿宋_GB2312" w:eastAsia="仿宋_GB2312"/>
                <w:sz w:val="21"/>
                <w:b/>
              </w:rPr>
              <w:t>（二）成果要求</w:t>
            </w:r>
          </w:p>
          <w:p>
            <w:pPr>
              <w:pStyle w:val="null3"/>
              <w:ind w:firstLine="480"/>
              <w:jc w:val="left"/>
            </w:pPr>
            <w:r>
              <w:rPr>
                <w:rFonts w:ascii="仿宋_GB2312" w:hAnsi="仿宋_GB2312" w:cs="仿宋_GB2312" w:eastAsia="仿宋_GB2312"/>
                <w:sz w:val="21"/>
              </w:rPr>
              <w:t>《渭南市临渭区秦岭生态环境保护实施方案》评估报告：提交Word/PDF格式文件，内容覆盖全面、数据资料权威、评估方法科学，具有合理建议。</w:t>
            </w:r>
          </w:p>
          <w:p>
            <w:pPr>
              <w:pStyle w:val="null3"/>
              <w:ind w:firstLine="480"/>
              <w:jc w:val="left"/>
            </w:pPr>
            <w:r>
              <w:rPr>
                <w:rFonts w:ascii="仿宋_GB2312" w:hAnsi="仿宋_GB2312" w:cs="仿宋_GB2312" w:eastAsia="仿宋_GB2312"/>
                <w:sz w:val="21"/>
              </w:rPr>
              <w:t>《渭南市临渭区秦岭生态环境保护实施方案》修编成果：提交规划文本、图册Word/PDF格式文件，内容全面，现势性强，符合最新的政策法规和上位规划。</w:t>
            </w:r>
          </w:p>
          <w:p>
            <w:pPr>
              <w:pStyle w:val="null3"/>
              <w:ind w:firstLine="480"/>
              <w:jc w:val="left"/>
            </w:pPr>
            <w:r>
              <w:rPr>
                <w:rFonts w:ascii="仿宋_GB2312" w:hAnsi="仿宋_GB2312" w:cs="仿宋_GB2312" w:eastAsia="仿宋_GB2312"/>
                <w:sz w:val="21"/>
              </w:rPr>
              <w:t>《渭南市临渭区黄河流域生态保护和高质量发展规划》中期评估报告：提交Word/PDF格式文件，内容覆盖全面、数据资料权威、评估方法科学，具有合理建议。</w:t>
            </w:r>
          </w:p>
          <w:p>
            <w:pPr>
              <w:pStyle w:val="null3"/>
              <w:ind w:firstLine="482"/>
              <w:jc w:val="left"/>
            </w:pPr>
            <w:r>
              <w:rPr>
                <w:rFonts w:ascii="仿宋_GB2312" w:hAnsi="仿宋_GB2312" w:cs="仿宋_GB2312" w:eastAsia="仿宋_GB2312"/>
                <w:sz w:val="21"/>
                <w:b/>
              </w:rPr>
              <w:t>（三）质量标准</w:t>
            </w:r>
          </w:p>
          <w:p>
            <w:pPr>
              <w:pStyle w:val="null3"/>
              <w:ind w:firstLine="480"/>
              <w:jc w:val="left"/>
            </w:pPr>
            <w:r>
              <w:rPr>
                <w:rFonts w:ascii="仿宋_GB2312" w:hAnsi="仿宋_GB2312" w:cs="仿宋_GB2312" w:eastAsia="仿宋_GB2312"/>
                <w:sz w:val="21"/>
              </w:rPr>
              <w:t>《实施方案》评估报告、《实施方案》修编成果、《保护与发展规划》中期评估报告须通过区级专家评审、征求意见及上级备案，符合上级政策法规要求，衔接市级评估、修编等工作。</w:t>
            </w:r>
          </w:p>
          <w:p>
            <w:pPr>
              <w:pStyle w:val="null3"/>
              <w:jc w:val="left"/>
              <w:outlineLvl w:val="1"/>
            </w:pPr>
            <w:r>
              <w:rPr>
                <w:rFonts w:ascii="仿宋_GB2312" w:hAnsi="仿宋_GB2312" w:cs="仿宋_GB2312" w:eastAsia="仿宋_GB2312"/>
                <w:sz w:val="21"/>
                <w:b/>
              </w:rPr>
              <w:t>五、验收标准</w:t>
            </w:r>
          </w:p>
          <w:p>
            <w:pPr>
              <w:pStyle w:val="null3"/>
              <w:ind w:firstLine="480"/>
              <w:jc w:val="left"/>
            </w:pPr>
            <w:r>
              <w:rPr>
                <w:rFonts w:ascii="仿宋_GB2312" w:hAnsi="仿宋_GB2312" w:cs="仿宋_GB2312" w:eastAsia="仿宋_GB2312"/>
                <w:sz w:val="21"/>
              </w:rPr>
              <w:t>《实施方案》评估报告通过专家评审，修编成果通过专家评审、征求意见、社会公示，完成区级报批及上级备案。</w:t>
            </w:r>
          </w:p>
          <w:p>
            <w:pPr>
              <w:pStyle w:val="null3"/>
              <w:ind w:firstLine="480"/>
              <w:jc w:val="left"/>
            </w:pPr>
            <w:r>
              <w:rPr>
                <w:rFonts w:ascii="仿宋_GB2312" w:hAnsi="仿宋_GB2312" w:cs="仿宋_GB2312" w:eastAsia="仿宋_GB2312"/>
                <w:sz w:val="21"/>
              </w:rPr>
              <w:t>《保护与发展规划》中期评估报告通过专家评审，完成上级工作衔接和备案。</w:t>
            </w:r>
          </w:p>
          <w:p>
            <w:pPr>
              <w:pStyle w:val="null3"/>
              <w:jc w:val="both"/>
            </w:pPr>
            <w:r>
              <w:rPr>
                <w:rFonts w:ascii="仿宋_GB2312" w:hAnsi="仿宋_GB2312" w:cs="仿宋_GB2312" w:eastAsia="仿宋_GB2312"/>
                <w:sz w:val="21"/>
              </w:rPr>
              <w:t>提交全套纸质、电子成果，配合完成后续技术服务，满足采购单位需求。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为保证项目质量，供应商应配置足够数量、具有专业资格、技术经验丰富的技术人员完成项目履约。</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供应商有符合完成本项目服务内容的办公场所、设备设施。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2026年8月底前完成总结评估报告，2026年12月底前完成区级规划（最终提交成果时间以上位规划出台时间再行确定）。</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符合国家标准、行业标准以及现行技术规范要求达到合格标准。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进度款，交付成果和完成相应程序要求后，达到付款条件起10个工作日内，支付合同总金额的60.0%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领取成交通知书前，须向采购代理机构提供纸质版响应文件3套（1正2副），U盘3份（包括响应文件的全部内容）且提供的响应文件必须与在陕西省政府采购综合管理平台的项目电子化交易系统中提交的电子响应文件内容一致，纸质版响应文件正副本须分别胶装（建议采用双面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供应商须为具有独立承担民事责任能力的法人、其他组织或自然人，并提供有效的统一社会信用代码的营业执照或事业单位法人证书等国家规定的相关证明，自然人参与的提供其身份证明；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供应商法人授权</w:t>
            </w:r>
          </w:p>
        </w:tc>
        <w:tc>
          <w:tcPr>
            <w:tcW w:type="dxa" w:w="3322"/>
          </w:tcPr>
          <w:p>
            <w:pPr>
              <w:pStyle w:val="null3"/>
            </w:pPr>
            <w:r>
              <w:rPr>
                <w:rFonts w:ascii="仿宋_GB2312" w:hAnsi="仿宋_GB2312" w:cs="仿宋_GB2312" w:eastAsia="仿宋_GB2312"/>
              </w:rPr>
              <w:t>供应商应授权合法的人员参加竞争性磋商全过程，其中法定代表人直接参加竞争性磋商的，须出具法人身份证，并与营业执照上信息一致。法定代表人授权代表参加竞争性磋商的，须出具法定代表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税收缴纳证明和社会保障资金缴纳证明</w:t>
            </w:r>
          </w:p>
        </w:tc>
        <w:tc>
          <w:tcPr>
            <w:tcW w:type="dxa" w:w="3322"/>
          </w:tcPr>
          <w:p>
            <w:pPr>
              <w:pStyle w:val="null3"/>
            </w:pPr>
            <w:r>
              <w:rPr>
                <w:rFonts w:ascii="仿宋_GB2312" w:hAnsi="仿宋_GB2312" w:cs="仿宋_GB2312" w:eastAsia="仿宋_GB2312"/>
              </w:rPr>
              <w:t>①税收缴纳证明：提供截止至开标时间前一年内已缴纳的至少一个月的纳税证明或完税证明，依法免税的单位应提供相关证明材料；②社会保障资金缴纳证明：提供截止至开标时间前一年内至今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财务审计报告（成立时间至提交响应文件截止时间不足一年的可提供成立后任意时段的资产负债表）或其基本存款账户开户银行出具的开标前六个月内资信证明及基本存款账户的开户证明或财政部门认可的政府采购专业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提供具有履行合同所必须的设备和专业技术能力的承诺书</w:t>
            </w:r>
          </w:p>
        </w:tc>
        <w:tc>
          <w:tcPr>
            <w:tcW w:type="dxa" w:w="3322"/>
          </w:tcPr>
          <w:p>
            <w:pPr>
              <w:pStyle w:val="null3"/>
            </w:pPr>
            <w:r>
              <w:rPr>
                <w:rFonts w:ascii="仿宋_GB2312" w:hAnsi="仿宋_GB2312" w:cs="仿宋_GB2312" w:eastAsia="仿宋_GB2312"/>
              </w:rPr>
              <w:t>提供具有履行合同所必须的设备和专业技术能力的承诺书；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投标保证金交纳凭证。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 陕西省政府采购供应商拒绝政府采购领域商业贿赂承诺书.docx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响应文件封面 技术和商务应答表.docx 中小企业声明函 残疾人福利性单位声明函 标的清单 报价表 响应函 资格证明文件.docx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1.磋商报价唯一；2.报价货币符合磋商文件要求；3.未超出采购预算或磋商文件规定的最高限价。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技术和商务应答表.docx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对项目的理解及需求分析</w:t>
            </w:r>
          </w:p>
        </w:tc>
        <w:tc>
          <w:tcPr>
            <w:tcW w:type="dxa" w:w="2492"/>
          </w:tcPr>
          <w:p>
            <w:pPr>
              <w:pStyle w:val="null3"/>
            </w:pPr>
            <w:r>
              <w:rPr>
                <w:rFonts w:ascii="仿宋_GB2312" w:hAnsi="仿宋_GB2312" w:cs="仿宋_GB2312" w:eastAsia="仿宋_GB2312"/>
              </w:rPr>
              <w:t>根据供应商对本项目背景意义、服务内容和需求、面临形势、项目目标的理解情况等内容进行评审： ①.对项目的背景意义、服务内容和需求理解深刻透彻，面临形势描述客观，能够准确把握项目目标，得10分； ②.对项目的背景意义、服务内容和需求理解比较透彻，面临形势描述比较客观，能够准确把握项目目标，得8分； ③.对项目的背景意义、服务内容和需求理解基本正确，面临形势描述基本客观，基本把握项目目标，得6分； ④.对项目的背景意义、服务内容和需求理解不够准确，面临形势描述不够客观，对项目目标把握不足，得4分； ⑤.缺项得0分。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根据供应商提供的服务方案，包括但不限于总体思路、技术路线、发展目标、重点任务、组织实施等内容进行评审： ①.方案描述完整、严谨，发展目标具体、清晰，技术路线逻辑性和可行性强，任务设置科学合理、重点突出，任务措施针对性和创新性强，人员组织架构和分工安排明确合理，完全满足项目采购需求，得20分； ②.方案描述完整但不具严谨度，发展目标具体、清晰，技术路线逻辑性和可行性强，任务设置合理性高，任务措施具有一定针对性和可行性，人员组织架构和分工安排具有明确性，基本满足项目采购需求，得15分； ③.方案描述完整性一般，发展目标具体，技术路线基本可行，任务设置合理，任务措施具有一定可行性，人员组织架构和分工安排明确性不足，较难满足项目采购需求，得10分； ④.方案描述不够完整，发展目标不具体，技术路线有缺陷、不可行，任务设置合理性低、可行性低，任务措施可行性不足，人员组织架构和分工安排不具明确性，不满足项目采购需求，得5分； ⑤.缺项得0分。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时间进度和工作目标</w:t>
            </w:r>
          </w:p>
        </w:tc>
        <w:tc>
          <w:tcPr>
            <w:tcW w:type="dxa" w:w="2492"/>
          </w:tcPr>
          <w:p>
            <w:pPr>
              <w:pStyle w:val="null3"/>
            </w:pPr>
            <w:r>
              <w:rPr>
                <w:rFonts w:ascii="仿宋_GB2312" w:hAnsi="仿宋_GB2312" w:cs="仿宋_GB2312" w:eastAsia="仿宋_GB2312"/>
              </w:rPr>
              <w:t>根据供应商提供的时间进度、工作目标等内容进行评审： ①.方案描述严谨、完整，时间进度和阶段工作目标安排科学合理，可行性高，完全满足项目采购需求，得3分； ②.方案描述基本完整，时间进度和阶段工作目标安排合理性不足，可行性一般，较难满足项目采购需求，得1分； ③.缺项得0分。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资料收集方案</w:t>
            </w:r>
          </w:p>
        </w:tc>
        <w:tc>
          <w:tcPr>
            <w:tcW w:type="dxa" w:w="2492"/>
          </w:tcPr>
          <w:p>
            <w:pPr>
              <w:pStyle w:val="null3"/>
            </w:pPr>
            <w:r>
              <w:rPr>
                <w:rFonts w:ascii="仿宋_GB2312" w:hAnsi="仿宋_GB2312" w:cs="仿宋_GB2312" w:eastAsia="仿宋_GB2312"/>
              </w:rPr>
              <w:t>根据供应商提供的资料收集方案的全面性、专业性、合理性等情况进行评审： ①.方案措施全面性、专业性、合理性强的，得8分； ②.方案措施全面性、专业性、合理性较强的，得5分； ③.方案措施全面性、专业性、合理性差的,得2分； ④.缺项得0分。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应急服务方案</w:t>
            </w:r>
          </w:p>
        </w:tc>
        <w:tc>
          <w:tcPr>
            <w:tcW w:type="dxa" w:w="2492"/>
          </w:tcPr>
          <w:p>
            <w:pPr>
              <w:pStyle w:val="null3"/>
            </w:pPr>
            <w:r>
              <w:rPr>
                <w:rFonts w:ascii="仿宋_GB2312" w:hAnsi="仿宋_GB2312" w:cs="仿宋_GB2312" w:eastAsia="仿宋_GB2312"/>
              </w:rPr>
              <w:t>根据投标人提供的应急服务方案的阐述进行评价： ①.有提供应急服务方案，且方案阐述内容详实，符合实际情况，理解到位，提出的措施有利于项目实施的，得3分； ②.有提供应急服务方案，方案内容基本符合要求的，得1分； ③.缺项得0分。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根据供应商提供的档案管理制度、安全生产管理制度、财务管理制度进行评审： ①.内容全面合理可行，符合实际，有利于项目实施得3分； ②.内容基本全面合理可行，有一定针对性，得2分； ③.内容简单笼统得1分； ④.缺项得0分。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根据供应商针对本项目的售后服务方案的合理性、科学性、可行性等情况进行评审： ①.方案内容全面合理可行，针对性强，得3分； ②.方案内容基本全面合理可行，有一定针对性，得1分； ③.缺项得0分。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根据供应商提供的项目负责人的情况进行评审： 1.项目负责人职称：A.获得高级或以上职称的，得2分；B.获得中级职称的，得1分；C.无或其他不得分。 2.近三年（自2023年4月1日以来，以合同签定日期为准）作为项目、课题负责人或技术负责人承担过与生态环境保护、生态产品价值实现、生态产品产业发展研究、美丽中国建设相关的地市级及以上项目或课题的，每提供一项得1分，满分2分。 3.项目负责人具有注册城乡规划师或注册测绘师资格的，得1分。 注：须提供有效期内的职称证书或注册资格证书复印件、相关证明材料、身份证复印件、供应商为项目负责人缴存社保的证明材料（缺少任何一项材料不得分）。否则不予认可。</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根据供应商提供的项目团队的职称和专业背景进行评审：1.除项目负责人外，项目团队成员职称：团队成员具有高级或以上职称的，每提供一人得1分，具有中级职称的每提供一人得0.5分，最高得6分（注：不提供不得分。同一人有多个职称证的以最高职称计分，不重复计分） 2.除项目负责人外，项目团队成员具有注册城乡规划师或注册测绘师的，每有1个得1分，最高得6分。 注：须提供有效职称证书复印件、注册资格证书复印件、身份证复印件（缺少任何一项材料不得分），否则不予认可。</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提供完整、详细的服务承诺及措施，包括但不限于用户现场服务响应时间、问题解决时间等。 ①.服务承诺内容详细、齐全，承诺2小时内响应、4小时内解决问题的，得3分； ②.服务承诺方案内容较详细、基本齐全，承诺4小时内响应、8小时内解决问题的，得2分； ③.缺项得0分。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供应商对项目涉及的数据和成果负有保密义务，根据供应商提供的保密措施进行评审： ①.具有完善的保密措施和保密手段，从管理、人员、技术等各个方面，全面保证采购人数据及相关信息不泄密，并提供保密承诺的，得4分； ②.保密承诺简单笼统的，得2分； ③.缺项得0分。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近三年（自2023年4月1日至截标时间前的类似项目业绩，以合同签订日期为准），每提供一项计2分，满分6分。备注：业绩证明文件以合同或上级下达的任务书为准，须在磋商响应文件中附合同或任务书的扫描件加盖单位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价格分应当采用低价优先法计算，即满足磋商文件要求且磋商报价最低的报价为评标基准价，其价格分为满分。其他供应商的价格分统一按照下列公式计算： 磋商报价得分=(评标基准价／有效磋商报价)×价格权值×100 备注：1.计算分数时四舍五入取小数点后两位。 2.根据《政府采购促进中小企业发展暂行办法》的相关规定，对小型和微型企业的价格给予10%的扣除，用扣除后的价格参与评审。 3.根据《财政部民政部中国残疾人联合会关于促进残疾人就业政府采购政策的通知》（财库〔2017〕141号）的规定，对符合条件的残疾人福利性单位产品的价格给予10%的扣除，用扣除后的价格参与评审。 小型、微型企业和监狱企业及符合财政部、民政部、中国残疾人联合会关于促进残疾人就业政府采购政策的通知，以上政策同时具备的仅对其进行一次10%的价格扣除，不重复扣除。</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详见附件：技术和商务应答表.docx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