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F59F72">
      <w:pPr>
        <w:pStyle w:val="7"/>
        <w:jc w:val="center"/>
        <w:outlineLvl w:val="1"/>
        <w:rPr>
          <w:highlight w:val="none"/>
        </w:rPr>
      </w:pPr>
      <w:bookmarkStart w:id="2" w:name="_GoBack"/>
      <w:bookmarkEnd w:id="2"/>
      <w:r>
        <w:rPr>
          <w:rFonts w:ascii="仿宋_GB2312" w:hAnsi="仿宋_GB2312" w:eastAsia="仿宋_GB2312" w:cs="仿宋_GB2312"/>
          <w:b/>
          <w:sz w:val="36"/>
          <w:highlight w:val="none"/>
        </w:rPr>
        <w:t>磋商项目技术、服务、商务及其他要求</w:t>
      </w:r>
    </w:p>
    <w:p w14:paraId="30DC1EB1">
      <w:pPr>
        <w:pStyle w:val="7"/>
        <w:ind w:firstLine="480"/>
      </w:pPr>
      <w:r>
        <w:rPr>
          <w:rFonts w:ascii="仿宋_GB2312" w:hAnsi="仿宋_GB2312" w:eastAsia="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0CABB36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_GB2312" w:hAnsi="仿宋_GB2312" w:eastAsia="仿宋_GB2312" w:cs="仿宋_GB2312"/>
          <w:b w:val="0"/>
          <w:bCs w:val="0"/>
          <w:color w:val="auto"/>
          <w:kern w:val="2"/>
          <w:sz w:val="20"/>
          <w:szCs w:val="20"/>
          <w:lang w:val="en-US" w:eastAsia="zh-CN" w:bidi="ar-SA"/>
        </w:rPr>
      </w:pPr>
      <w:r>
        <w:rPr>
          <w:rFonts w:hint="eastAsia" w:ascii="仿宋_GB2312" w:hAnsi="仿宋_GB2312" w:eastAsia="仿宋_GB2312" w:cs="仿宋_GB2312"/>
          <w:b w:val="0"/>
          <w:bCs w:val="0"/>
          <w:color w:val="auto"/>
          <w:kern w:val="2"/>
          <w:sz w:val="20"/>
          <w:szCs w:val="20"/>
          <w:lang w:val="en-US" w:eastAsia="zh-CN" w:bidi="ar-SA"/>
        </w:rPr>
        <w:t>一、</w:t>
      </w:r>
      <w:r>
        <w:rPr>
          <w:rFonts w:hint="eastAsia" w:ascii="仿宋_GB2312" w:hAnsi="仿宋_GB2312" w:eastAsia="仿宋_GB2312" w:cs="仿宋_GB2312"/>
          <w:b/>
          <w:bCs/>
          <w:color w:val="auto"/>
          <w:kern w:val="2"/>
          <w:sz w:val="20"/>
          <w:szCs w:val="20"/>
          <w:lang w:val="en-US" w:eastAsia="zh-CN" w:bidi="ar-SA"/>
        </w:rPr>
        <w:t>项目名称：</w:t>
      </w:r>
      <w:r>
        <w:rPr>
          <w:rFonts w:hint="eastAsia" w:ascii="仿宋_GB2312" w:hAnsi="仿宋_GB2312" w:eastAsia="仿宋_GB2312" w:cs="仿宋_GB2312"/>
          <w:b w:val="0"/>
          <w:bCs w:val="0"/>
          <w:color w:val="auto"/>
          <w:kern w:val="2"/>
          <w:sz w:val="20"/>
          <w:szCs w:val="20"/>
          <w:lang w:val="en-US" w:eastAsia="zh-CN" w:bidi="ar-SA"/>
        </w:rPr>
        <w:t>革命公园管护项目</w:t>
      </w:r>
    </w:p>
    <w:p w14:paraId="68AD21F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二、</w:t>
      </w:r>
      <w:r>
        <w:rPr>
          <w:rFonts w:hint="eastAsia" w:ascii="仿宋_GB2312" w:hAnsi="仿宋_GB2312" w:eastAsia="仿宋_GB2312" w:cs="仿宋_GB2312"/>
          <w:b/>
          <w:bCs/>
          <w:color w:val="auto"/>
          <w:kern w:val="2"/>
          <w:sz w:val="20"/>
          <w:szCs w:val="20"/>
          <w:lang w:val="en-US" w:eastAsia="zh-CN" w:bidi="ar-SA"/>
        </w:rPr>
        <w:t>项目基本情况：</w:t>
      </w:r>
      <w:r>
        <w:rPr>
          <w:rFonts w:hint="eastAsia" w:ascii="仿宋_GB2312" w:hAnsi="仿宋_GB2312" w:eastAsia="仿宋_GB2312" w:cs="仿宋_GB2312"/>
          <w:color w:val="auto"/>
          <w:kern w:val="2"/>
          <w:sz w:val="20"/>
          <w:szCs w:val="20"/>
          <w:lang w:val="en-US" w:eastAsia="zh-CN" w:bidi="ar-SA"/>
        </w:rPr>
        <w:t>在采购方安排指导及监督管理下进行</w:t>
      </w:r>
      <w:r>
        <w:rPr>
          <w:rFonts w:hint="eastAsia" w:ascii="仿宋_GB2312" w:hAnsi="仿宋_GB2312" w:eastAsia="仿宋_GB2312" w:cs="仿宋_GB2312"/>
          <w:b w:val="0"/>
          <w:bCs w:val="0"/>
          <w:color w:val="auto"/>
          <w:kern w:val="2"/>
          <w:sz w:val="20"/>
          <w:szCs w:val="20"/>
          <w:lang w:val="en-US" w:eastAsia="zh-CN" w:bidi="ar-SA"/>
        </w:rPr>
        <w:t>绿化养护、保洁、安全秩序、氛围布置、文物建筑常规性维护保养、道路广场附属设施维修保养、水电维修维护、公园公共区域水电费、展室讲解及各类宣传等公园管护事项</w:t>
      </w:r>
      <w:r>
        <w:rPr>
          <w:rFonts w:hint="eastAsia" w:ascii="仿宋_GB2312" w:hAnsi="仿宋_GB2312" w:eastAsia="仿宋_GB2312" w:cs="仿宋_GB2312"/>
          <w:color w:val="auto"/>
          <w:kern w:val="2"/>
          <w:sz w:val="20"/>
          <w:szCs w:val="20"/>
          <w:lang w:val="en-US" w:eastAsia="zh-CN" w:bidi="ar-SA"/>
        </w:rPr>
        <w:t>。</w:t>
      </w:r>
    </w:p>
    <w:p w14:paraId="21A3C33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_GB2312" w:hAnsi="仿宋_GB2312" w:eastAsia="仿宋_GB2312" w:cs="仿宋_GB2312"/>
          <w:b w:val="0"/>
          <w:bCs w:val="0"/>
          <w:color w:val="auto"/>
          <w:kern w:val="2"/>
          <w:sz w:val="20"/>
          <w:szCs w:val="20"/>
          <w:lang w:val="en-US" w:eastAsia="zh-CN" w:bidi="ar-SA"/>
        </w:rPr>
      </w:pPr>
      <w:r>
        <w:rPr>
          <w:rFonts w:hint="eastAsia" w:ascii="仿宋_GB2312" w:hAnsi="仿宋_GB2312" w:eastAsia="仿宋_GB2312" w:cs="仿宋_GB2312"/>
          <w:b w:val="0"/>
          <w:bCs w:val="0"/>
          <w:color w:val="auto"/>
          <w:kern w:val="2"/>
          <w:sz w:val="20"/>
          <w:szCs w:val="20"/>
          <w:lang w:val="en-US" w:eastAsia="zh-CN" w:bidi="ar-SA"/>
        </w:rPr>
        <w:t>三、</w:t>
      </w:r>
      <w:r>
        <w:rPr>
          <w:rFonts w:hint="eastAsia" w:ascii="仿宋_GB2312" w:hAnsi="仿宋_GB2312" w:eastAsia="仿宋_GB2312" w:cs="仿宋_GB2312"/>
          <w:b/>
          <w:bCs/>
          <w:color w:val="auto"/>
          <w:kern w:val="2"/>
          <w:sz w:val="20"/>
          <w:szCs w:val="20"/>
          <w:lang w:val="en-US" w:eastAsia="zh-CN" w:bidi="ar-SA"/>
        </w:rPr>
        <w:t>主要功能或目标：</w:t>
      </w:r>
      <w:r>
        <w:rPr>
          <w:rFonts w:hint="eastAsia" w:ascii="仿宋_GB2312" w:hAnsi="仿宋_GB2312" w:eastAsia="仿宋_GB2312" w:cs="仿宋_GB2312"/>
          <w:b w:val="0"/>
          <w:bCs w:val="0"/>
          <w:color w:val="auto"/>
          <w:kern w:val="2"/>
          <w:sz w:val="20"/>
          <w:szCs w:val="20"/>
          <w:lang w:val="en-US" w:eastAsia="zh-CN" w:bidi="ar-SA"/>
        </w:rPr>
        <w:t>西安市革命公园位于西五路53号，占地10.41万平方米。其中绿化管护面积7.03万平方米，保洁面积2.43万平方米，湖面面积约0.71万平方米。公园设有3个主出入口，2个次出入口，3座公厕，1个监控室。园区设有国家级保护文物及附属文物，设有革命烈士雕像及纪念碑亭。公园不设围墙，全天24小时开放。本次采购内容为2026年公园管护。具体内容包括绿化养护、花卉摆放、节日气氛布置、园容保洁、园区安全秩序、湖水维护、水电维修维护、道路广场公共家具等附属设施设备维修保养、文物建筑物的日常维护保养、展室讲解及各类宣传、协助开展相应的群众文化娱乐活动等公园管护事项。</w:t>
      </w:r>
    </w:p>
    <w:p w14:paraId="13D7282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_GB2312" w:hAnsi="仿宋_GB2312" w:eastAsia="仿宋_GB2312" w:cs="仿宋_GB2312"/>
          <w:b/>
          <w:bCs/>
          <w:color w:val="auto"/>
          <w:kern w:val="2"/>
          <w:sz w:val="20"/>
          <w:szCs w:val="20"/>
          <w:lang w:val="en-US" w:eastAsia="zh-CN" w:bidi="ar-SA"/>
        </w:rPr>
      </w:pPr>
      <w:r>
        <w:rPr>
          <w:rFonts w:hint="eastAsia" w:ascii="仿宋_GB2312" w:hAnsi="仿宋_GB2312" w:eastAsia="仿宋_GB2312" w:cs="仿宋_GB2312"/>
          <w:b/>
          <w:bCs/>
          <w:color w:val="auto"/>
          <w:kern w:val="2"/>
          <w:sz w:val="20"/>
          <w:szCs w:val="20"/>
          <w:lang w:val="en-US" w:eastAsia="zh-CN" w:bidi="ar-SA"/>
        </w:rPr>
        <w:t>四、运行维护参数：</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3075"/>
        <w:gridCol w:w="1080"/>
        <w:gridCol w:w="2200"/>
        <w:gridCol w:w="1064"/>
      </w:tblGrid>
      <w:tr w14:paraId="71478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00" w:type="dxa"/>
            <w:noWrap/>
          </w:tcPr>
          <w:p w14:paraId="504E132F">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序号</w:t>
            </w:r>
          </w:p>
        </w:tc>
        <w:tc>
          <w:tcPr>
            <w:tcW w:w="3075" w:type="dxa"/>
            <w:noWrap/>
          </w:tcPr>
          <w:p w14:paraId="211509C3">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项目</w:t>
            </w:r>
          </w:p>
        </w:tc>
        <w:tc>
          <w:tcPr>
            <w:tcW w:w="1080" w:type="dxa"/>
            <w:noWrap/>
          </w:tcPr>
          <w:p w14:paraId="225CCEBB">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单位</w:t>
            </w:r>
          </w:p>
        </w:tc>
        <w:tc>
          <w:tcPr>
            <w:tcW w:w="2200" w:type="dxa"/>
            <w:noWrap/>
          </w:tcPr>
          <w:p w14:paraId="65CB6308">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数量</w:t>
            </w:r>
          </w:p>
        </w:tc>
        <w:tc>
          <w:tcPr>
            <w:tcW w:w="1064" w:type="dxa"/>
            <w:noWrap/>
          </w:tcPr>
          <w:p w14:paraId="5A2A0255">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备注</w:t>
            </w:r>
          </w:p>
        </w:tc>
      </w:tr>
      <w:tr w14:paraId="2E5AB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100" w:type="dxa"/>
            <w:noWrap/>
          </w:tcPr>
          <w:p w14:paraId="788CEC2E">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1</w:t>
            </w:r>
          </w:p>
        </w:tc>
        <w:tc>
          <w:tcPr>
            <w:tcW w:w="3075" w:type="dxa"/>
            <w:noWrap/>
          </w:tcPr>
          <w:p w14:paraId="3C8756EE">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绿化管护</w:t>
            </w:r>
          </w:p>
        </w:tc>
        <w:tc>
          <w:tcPr>
            <w:tcW w:w="1080" w:type="dxa"/>
            <w:noWrap/>
          </w:tcPr>
          <w:p w14:paraId="18EED633">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w:t>
            </w:r>
          </w:p>
        </w:tc>
        <w:tc>
          <w:tcPr>
            <w:tcW w:w="2200" w:type="dxa"/>
            <w:noWrap/>
          </w:tcPr>
          <w:p w14:paraId="06D5C38E">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70272</w:t>
            </w:r>
          </w:p>
        </w:tc>
        <w:tc>
          <w:tcPr>
            <w:tcW w:w="1064" w:type="dxa"/>
            <w:noWrap/>
          </w:tcPr>
          <w:p w14:paraId="2555B3F8">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p>
        </w:tc>
      </w:tr>
      <w:tr w14:paraId="32B64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1100" w:type="dxa"/>
            <w:noWrap/>
          </w:tcPr>
          <w:p w14:paraId="7AE58138">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2</w:t>
            </w:r>
          </w:p>
        </w:tc>
        <w:tc>
          <w:tcPr>
            <w:tcW w:w="3075" w:type="dxa"/>
            <w:noWrap/>
          </w:tcPr>
          <w:p w14:paraId="03714818">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园容保洁</w:t>
            </w:r>
          </w:p>
        </w:tc>
        <w:tc>
          <w:tcPr>
            <w:tcW w:w="1080" w:type="dxa"/>
            <w:noWrap/>
          </w:tcPr>
          <w:p w14:paraId="0863304A">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w:t>
            </w:r>
          </w:p>
        </w:tc>
        <w:tc>
          <w:tcPr>
            <w:tcW w:w="2200" w:type="dxa"/>
            <w:noWrap/>
          </w:tcPr>
          <w:p w14:paraId="23815AB4">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24331</w:t>
            </w:r>
          </w:p>
        </w:tc>
        <w:tc>
          <w:tcPr>
            <w:tcW w:w="1064" w:type="dxa"/>
            <w:noWrap/>
          </w:tcPr>
          <w:p w14:paraId="7083A1AD">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p>
        </w:tc>
      </w:tr>
      <w:tr w14:paraId="0EFF3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noWrap/>
          </w:tcPr>
          <w:p w14:paraId="4D949F0B">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3</w:t>
            </w:r>
          </w:p>
        </w:tc>
        <w:tc>
          <w:tcPr>
            <w:tcW w:w="3075" w:type="dxa"/>
            <w:noWrap/>
          </w:tcPr>
          <w:p w14:paraId="180B23D2">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公厕维护</w:t>
            </w:r>
          </w:p>
        </w:tc>
        <w:tc>
          <w:tcPr>
            <w:tcW w:w="1080" w:type="dxa"/>
            <w:noWrap/>
          </w:tcPr>
          <w:p w14:paraId="3B70D25E">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座</w:t>
            </w:r>
          </w:p>
        </w:tc>
        <w:tc>
          <w:tcPr>
            <w:tcW w:w="2200" w:type="dxa"/>
            <w:noWrap/>
          </w:tcPr>
          <w:p w14:paraId="7AA5BE8B">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3</w:t>
            </w:r>
          </w:p>
        </w:tc>
        <w:tc>
          <w:tcPr>
            <w:tcW w:w="1064" w:type="dxa"/>
            <w:noWrap/>
          </w:tcPr>
          <w:p w14:paraId="3ED4B39A">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p>
        </w:tc>
      </w:tr>
      <w:tr w14:paraId="7D4FA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noWrap/>
          </w:tcPr>
          <w:p w14:paraId="1C36F535">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4</w:t>
            </w:r>
          </w:p>
        </w:tc>
        <w:tc>
          <w:tcPr>
            <w:tcW w:w="3075" w:type="dxa"/>
            <w:noWrap/>
          </w:tcPr>
          <w:p w14:paraId="7C1AB6C6">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highlight w:val="none"/>
                <w:lang w:val="en-US" w:eastAsia="zh-CN" w:bidi="ar-SA"/>
              </w:rPr>
            </w:pPr>
            <w:r>
              <w:rPr>
                <w:rFonts w:hint="eastAsia" w:ascii="仿宋_GB2312" w:hAnsi="仿宋_GB2312" w:eastAsia="仿宋_GB2312" w:cs="仿宋_GB2312"/>
                <w:color w:val="auto"/>
                <w:kern w:val="2"/>
                <w:sz w:val="20"/>
                <w:szCs w:val="20"/>
                <w:highlight w:val="none"/>
                <w:lang w:val="en-US" w:eastAsia="zh-CN" w:bidi="ar-SA"/>
              </w:rPr>
              <w:t>园区安保</w:t>
            </w:r>
          </w:p>
        </w:tc>
        <w:tc>
          <w:tcPr>
            <w:tcW w:w="1080" w:type="dxa"/>
            <w:noWrap/>
          </w:tcPr>
          <w:p w14:paraId="67C2F6DA">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highlight w:val="none"/>
                <w:lang w:val="en-US" w:eastAsia="zh-CN" w:bidi="ar-SA"/>
              </w:rPr>
            </w:pPr>
            <w:r>
              <w:rPr>
                <w:rFonts w:hint="eastAsia" w:ascii="仿宋_GB2312" w:hAnsi="仿宋_GB2312" w:eastAsia="仿宋_GB2312" w:cs="仿宋_GB2312"/>
                <w:color w:val="auto"/>
                <w:kern w:val="2"/>
                <w:sz w:val="20"/>
                <w:szCs w:val="20"/>
                <w:highlight w:val="none"/>
                <w:lang w:val="en-US" w:eastAsia="zh-CN" w:bidi="ar-SA"/>
              </w:rPr>
              <w:t>人/年</w:t>
            </w:r>
          </w:p>
        </w:tc>
        <w:tc>
          <w:tcPr>
            <w:tcW w:w="2200" w:type="dxa"/>
            <w:noWrap/>
          </w:tcPr>
          <w:p w14:paraId="4BDDB050">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highlight w:val="none"/>
                <w:lang w:val="en-US" w:eastAsia="zh-CN" w:bidi="ar-SA"/>
              </w:rPr>
            </w:pPr>
            <w:r>
              <w:rPr>
                <w:rFonts w:hint="eastAsia" w:ascii="仿宋_GB2312" w:hAnsi="仿宋_GB2312" w:eastAsia="仿宋_GB2312" w:cs="仿宋_GB2312"/>
                <w:color w:val="auto"/>
                <w:kern w:val="2"/>
                <w:sz w:val="20"/>
                <w:szCs w:val="20"/>
                <w:highlight w:val="none"/>
                <w:lang w:val="en-US" w:eastAsia="zh-CN" w:bidi="ar-SA"/>
              </w:rPr>
              <w:t>19</w:t>
            </w:r>
          </w:p>
        </w:tc>
        <w:tc>
          <w:tcPr>
            <w:tcW w:w="1064" w:type="dxa"/>
            <w:noWrap/>
          </w:tcPr>
          <w:p w14:paraId="25A6DB7D">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p>
        </w:tc>
      </w:tr>
      <w:tr w14:paraId="2D7A9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00" w:type="dxa"/>
            <w:noWrap/>
          </w:tcPr>
          <w:p w14:paraId="1669D934">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5</w:t>
            </w:r>
          </w:p>
        </w:tc>
        <w:tc>
          <w:tcPr>
            <w:tcW w:w="3075" w:type="dxa"/>
            <w:noWrap/>
          </w:tcPr>
          <w:p w14:paraId="7750D8BA">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湖水维护费</w:t>
            </w:r>
          </w:p>
        </w:tc>
        <w:tc>
          <w:tcPr>
            <w:tcW w:w="1080" w:type="dxa"/>
            <w:noWrap/>
          </w:tcPr>
          <w:p w14:paraId="49DDD3BE">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w:t>
            </w:r>
          </w:p>
        </w:tc>
        <w:tc>
          <w:tcPr>
            <w:tcW w:w="2200" w:type="dxa"/>
            <w:noWrap/>
            <w:vAlign w:val="top"/>
          </w:tcPr>
          <w:p w14:paraId="277A199A">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园内所有水体</w:t>
            </w:r>
          </w:p>
        </w:tc>
        <w:tc>
          <w:tcPr>
            <w:tcW w:w="1064" w:type="dxa"/>
            <w:noWrap/>
            <w:vAlign w:val="top"/>
          </w:tcPr>
          <w:p w14:paraId="74647A43">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p>
        </w:tc>
      </w:tr>
      <w:tr w14:paraId="53852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00" w:type="dxa"/>
            <w:noWrap/>
          </w:tcPr>
          <w:p w14:paraId="37D24F4A">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6</w:t>
            </w:r>
          </w:p>
        </w:tc>
        <w:tc>
          <w:tcPr>
            <w:tcW w:w="3075" w:type="dxa"/>
            <w:noWrap/>
          </w:tcPr>
          <w:p w14:paraId="5FB67810">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节日摆花及氛围营造</w:t>
            </w:r>
          </w:p>
        </w:tc>
        <w:tc>
          <w:tcPr>
            <w:tcW w:w="1080" w:type="dxa"/>
            <w:noWrap/>
          </w:tcPr>
          <w:p w14:paraId="1639410E">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w:t>
            </w:r>
          </w:p>
        </w:tc>
        <w:tc>
          <w:tcPr>
            <w:tcW w:w="2200" w:type="dxa"/>
            <w:noWrap/>
          </w:tcPr>
          <w:p w14:paraId="31D61256">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285</w:t>
            </w:r>
          </w:p>
        </w:tc>
        <w:tc>
          <w:tcPr>
            <w:tcW w:w="1064" w:type="dxa"/>
            <w:noWrap/>
          </w:tcPr>
          <w:p w14:paraId="4054626A">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p>
        </w:tc>
      </w:tr>
      <w:tr w14:paraId="6CDC2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1100" w:type="dxa"/>
            <w:noWrap/>
          </w:tcPr>
          <w:p w14:paraId="09FB147B">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7</w:t>
            </w:r>
          </w:p>
        </w:tc>
        <w:tc>
          <w:tcPr>
            <w:tcW w:w="3075" w:type="dxa"/>
            <w:noWrap/>
          </w:tcPr>
          <w:p w14:paraId="67F3685F">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日常零星维修项目</w:t>
            </w:r>
          </w:p>
        </w:tc>
        <w:tc>
          <w:tcPr>
            <w:tcW w:w="1080" w:type="dxa"/>
            <w:noWrap/>
          </w:tcPr>
          <w:p w14:paraId="11E7F6E6">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万元/年</w:t>
            </w:r>
          </w:p>
        </w:tc>
        <w:tc>
          <w:tcPr>
            <w:tcW w:w="2200" w:type="dxa"/>
            <w:noWrap/>
          </w:tcPr>
          <w:p w14:paraId="5F4AA83D">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20.00</w:t>
            </w:r>
          </w:p>
        </w:tc>
        <w:tc>
          <w:tcPr>
            <w:tcW w:w="1064" w:type="dxa"/>
            <w:noWrap/>
          </w:tcPr>
          <w:p w14:paraId="282638E7">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p>
        </w:tc>
      </w:tr>
      <w:tr w14:paraId="5535A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1100" w:type="dxa"/>
            <w:noWrap/>
          </w:tcPr>
          <w:p w14:paraId="06C4A429">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8</w:t>
            </w:r>
          </w:p>
        </w:tc>
        <w:tc>
          <w:tcPr>
            <w:tcW w:w="3075" w:type="dxa"/>
            <w:noWrap/>
          </w:tcPr>
          <w:p w14:paraId="59EBB8E2">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园内全年维修次数</w:t>
            </w:r>
          </w:p>
        </w:tc>
        <w:tc>
          <w:tcPr>
            <w:tcW w:w="1080" w:type="dxa"/>
            <w:noWrap/>
          </w:tcPr>
          <w:p w14:paraId="64EDA24B">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次</w:t>
            </w:r>
          </w:p>
        </w:tc>
        <w:tc>
          <w:tcPr>
            <w:tcW w:w="2200" w:type="dxa"/>
            <w:noWrap/>
          </w:tcPr>
          <w:p w14:paraId="2D5E3C15">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≥12</w:t>
            </w:r>
          </w:p>
        </w:tc>
        <w:tc>
          <w:tcPr>
            <w:tcW w:w="1064" w:type="dxa"/>
            <w:noWrap/>
          </w:tcPr>
          <w:p w14:paraId="26F8330A">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p>
        </w:tc>
      </w:tr>
      <w:tr w14:paraId="2EE3B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100" w:type="dxa"/>
            <w:noWrap/>
            <w:vAlign w:val="top"/>
          </w:tcPr>
          <w:p w14:paraId="08B50786">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9</w:t>
            </w:r>
          </w:p>
        </w:tc>
        <w:tc>
          <w:tcPr>
            <w:tcW w:w="3075" w:type="dxa"/>
            <w:noWrap/>
          </w:tcPr>
          <w:p w14:paraId="33B6A2D7">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highlight w:val="none"/>
                <w:lang w:val="en-US" w:eastAsia="zh-CN" w:bidi="ar-SA"/>
              </w:rPr>
            </w:pPr>
            <w:r>
              <w:rPr>
                <w:rFonts w:hint="eastAsia" w:ascii="仿宋_GB2312" w:hAnsi="仿宋_GB2312" w:eastAsia="仿宋_GB2312" w:cs="仿宋_GB2312"/>
                <w:color w:val="auto"/>
                <w:kern w:val="2"/>
                <w:sz w:val="20"/>
                <w:szCs w:val="20"/>
                <w:highlight w:val="none"/>
                <w:lang w:val="en-US" w:eastAsia="zh-CN" w:bidi="ar-SA"/>
              </w:rPr>
              <w:t>水电人工</w:t>
            </w:r>
          </w:p>
        </w:tc>
        <w:tc>
          <w:tcPr>
            <w:tcW w:w="1080" w:type="dxa"/>
            <w:noWrap/>
          </w:tcPr>
          <w:p w14:paraId="716C7B66">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highlight w:val="none"/>
                <w:lang w:val="en-US" w:eastAsia="zh-CN" w:bidi="ar-SA"/>
              </w:rPr>
            </w:pPr>
            <w:r>
              <w:rPr>
                <w:rFonts w:hint="eastAsia" w:ascii="仿宋_GB2312" w:hAnsi="仿宋_GB2312" w:eastAsia="仿宋_GB2312" w:cs="仿宋_GB2312"/>
                <w:color w:val="auto"/>
                <w:kern w:val="2"/>
                <w:sz w:val="20"/>
                <w:szCs w:val="20"/>
                <w:highlight w:val="none"/>
                <w:lang w:val="en-US" w:eastAsia="zh-CN" w:bidi="ar-SA"/>
              </w:rPr>
              <w:t>人/年</w:t>
            </w:r>
          </w:p>
        </w:tc>
        <w:tc>
          <w:tcPr>
            <w:tcW w:w="2200" w:type="dxa"/>
            <w:noWrap/>
          </w:tcPr>
          <w:p w14:paraId="4D1851B8">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highlight w:val="none"/>
                <w:lang w:val="en-US" w:eastAsia="zh-CN" w:bidi="ar-SA"/>
              </w:rPr>
            </w:pPr>
            <w:r>
              <w:rPr>
                <w:rFonts w:hint="eastAsia" w:ascii="仿宋_GB2312" w:hAnsi="仿宋_GB2312" w:eastAsia="仿宋_GB2312" w:cs="仿宋_GB2312"/>
                <w:color w:val="auto"/>
                <w:kern w:val="2"/>
                <w:sz w:val="20"/>
                <w:szCs w:val="20"/>
                <w:highlight w:val="none"/>
                <w:lang w:val="en-US" w:eastAsia="zh-CN" w:bidi="ar-SA"/>
              </w:rPr>
              <w:t>2</w:t>
            </w:r>
          </w:p>
        </w:tc>
        <w:tc>
          <w:tcPr>
            <w:tcW w:w="1064" w:type="dxa"/>
            <w:noWrap/>
          </w:tcPr>
          <w:p w14:paraId="0C72CABB">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p>
        </w:tc>
      </w:tr>
      <w:tr w14:paraId="539AF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noWrap/>
            <w:vAlign w:val="center"/>
          </w:tcPr>
          <w:p w14:paraId="1EA5DC22">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10</w:t>
            </w:r>
          </w:p>
        </w:tc>
        <w:tc>
          <w:tcPr>
            <w:tcW w:w="3075" w:type="dxa"/>
            <w:noWrap/>
          </w:tcPr>
          <w:p w14:paraId="3BF8A1C0">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电费</w:t>
            </w:r>
          </w:p>
        </w:tc>
        <w:tc>
          <w:tcPr>
            <w:tcW w:w="1080" w:type="dxa"/>
            <w:noWrap/>
          </w:tcPr>
          <w:p w14:paraId="00A8F7B1">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元/度</w:t>
            </w:r>
          </w:p>
        </w:tc>
        <w:tc>
          <w:tcPr>
            <w:tcW w:w="2200" w:type="dxa"/>
            <w:noWrap/>
          </w:tcPr>
          <w:p w14:paraId="4F1F8004">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0.65</w:t>
            </w:r>
          </w:p>
        </w:tc>
        <w:tc>
          <w:tcPr>
            <w:tcW w:w="1064" w:type="dxa"/>
            <w:noWrap/>
          </w:tcPr>
          <w:p w14:paraId="5C8425B4">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p>
        </w:tc>
      </w:tr>
      <w:tr w14:paraId="035C9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noWrap/>
            <w:vAlign w:val="center"/>
          </w:tcPr>
          <w:p w14:paraId="3916376A">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11</w:t>
            </w:r>
          </w:p>
        </w:tc>
        <w:tc>
          <w:tcPr>
            <w:tcW w:w="3075" w:type="dxa"/>
            <w:noWrap/>
            <w:vAlign w:val="center"/>
          </w:tcPr>
          <w:p w14:paraId="622F3885">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构筑物</w:t>
            </w:r>
          </w:p>
        </w:tc>
        <w:tc>
          <w:tcPr>
            <w:tcW w:w="1080" w:type="dxa"/>
            <w:noWrap/>
            <w:vAlign w:val="center"/>
          </w:tcPr>
          <w:p w14:paraId="602E2EDF">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highlight w:val="none"/>
                <w:lang w:val="en-US" w:eastAsia="zh-CN" w:bidi="ar-SA"/>
              </w:rPr>
            </w:pPr>
            <w:r>
              <w:rPr>
                <w:rFonts w:hint="eastAsia" w:ascii="仿宋_GB2312" w:hAnsi="仿宋_GB2312" w:eastAsia="仿宋_GB2312" w:cs="仿宋_GB2312"/>
                <w:color w:val="auto"/>
                <w:kern w:val="2"/>
                <w:sz w:val="20"/>
                <w:szCs w:val="20"/>
                <w:highlight w:val="none"/>
                <w:lang w:val="en-US" w:eastAsia="zh-CN" w:bidi="ar-SA"/>
              </w:rPr>
              <w:t>/</w:t>
            </w:r>
          </w:p>
        </w:tc>
        <w:tc>
          <w:tcPr>
            <w:tcW w:w="2200" w:type="dxa"/>
            <w:noWrap/>
            <w:vAlign w:val="center"/>
          </w:tcPr>
          <w:p w14:paraId="0D527950">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highlight w:val="none"/>
                <w:lang w:val="en-US" w:eastAsia="zh-CN" w:bidi="ar-SA"/>
              </w:rPr>
            </w:pPr>
            <w:r>
              <w:rPr>
                <w:rFonts w:hint="eastAsia" w:ascii="仿宋_GB2312" w:hAnsi="仿宋_GB2312" w:eastAsia="仿宋_GB2312" w:cs="仿宋_GB2312"/>
                <w:color w:val="auto"/>
                <w:kern w:val="2"/>
                <w:sz w:val="20"/>
                <w:szCs w:val="20"/>
                <w:highlight w:val="none"/>
                <w:lang w:val="en-US" w:eastAsia="zh-CN" w:bidi="ar-SA"/>
              </w:rPr>
              <w:t>革命亭；忠烈祠；东、西烈祠；东、西大冢；3座雕像；4座碑亭；12通石碑等</w:t>
            </w:r>
          </w:p>
        </w:tc>
        <w:tc>
          <w:tcPr>
            <w:tcW w:w="1064" w:type="dxa"/>
            <w:noWrap/>
          </w:tcPr>
          <w:p w14:paraId="70213BAA">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highlight w:val="none"/>
                <w:lang w:val="en-US" w:eastAsia="zh-CN" w:bidi="ar-SA"/>
              </w:rPr>
            </w:pPr>
          </w:p>
        </w:tc>
      </w:tr>
      <w:tr w14:paraId="523E7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noWrap/>
          </w:tcPr>
          <w:p w14:paraId="3AE7702D">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12</w:t>
            </w:r>
          </w:p>
        </w:tc>
        <w:tc>
          <w:tcPr>
            <w:tcW w:w="3075" w:type="dxa"/>
            <w:noWrap/>
          </w:tcPr>
          <w:p w14:paraId="62019FBD">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开展各类宣传费（含讲解员费）</w:t>
            </w:r>
          </w:p>
        </w:tc>
        <w:tc>
          <w:tcPr>
            <w:tcW w:w="1080" w:type="dxa"/>
            <w:noWrap/>
          </w:tcPr>
          <w:p w14:paraId="30C7A205">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元/年</w:t>
            </w:r>
          </w:p>
        </w:tc>
        <w:tc>
          <w:tcPr>
            <w:tcW w:w="2200" w:type="dxa"/>
            <w:noWrap/>
          </w:tcPr>
          <w:p w14:paraId="2FA7FF80">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359897.88</w:t>
            </w:r>
          </w:p>
        </w:tc>
        <w:tc>
          <w:tcPr>
            <w:tcW w:w="1064" w:type="dxa"/>
            <w:noWrap/>
          </w:tcPr>
          <w:p w14:paraId="056AD16C">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p>
        </w:tc>
      </w:tr>
      <w:tr w14:paraId="4214C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noWrap/>
          </w:tcPr>
          <w:p w14:paraId="742C1220">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12.1</w:t>
            </w:r>
          </w:p>
        </w:tc>
        <w:tc>
          <w:tcPr>
            <w:tcW w:w="3075" w:type="dxa"/>
            <w:noWrap/>
          </w:tcPr>
          <w:p w14:paraId="5C462CE9">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讲解人员</w:t>
            </w:r>
          </w:p>
        </w:tc>
        <w:tc>
          <w:tcPr>
            <w:tcW w:w="1080" w:type="dxa"/>
            <w:noWrap/>
          </w:tcPr>
          <w:p w14:paraId="335EFBF9">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人</w:t>
            </w:r>
          </w:p>
        </w:tc>
        <w:tc>
          <w:tcPr>
            <w:tcW w:w="2200" w:type="dxa"/>
            <w:noWrap/>
          </w:tcPr>
          <w:p w14:paraId="7FAB103A">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6</w:t>
            </w:r>
          </w:p>
        </w:tc>
        <w:tc>
          <w:tcPr>
            <w:tcW w:w="1064" w:type="dxa"/>
            <w:noWrap/>
          </w:tcPr>
          <w:p w14:paraId="75A02E22">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p>
        </w:tc>
      </w:tr>
      <w:tr w14:paraId="0ADB2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noWrap/>
          </w:tcPr>
          <w:p w14:paraId="5181D582">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12.2</w:t>
            </w:r>
          </w:p>
        </w:tc>
        <w:tc>
          <w:tcPr>
            <w:tcW w:w="3075" w:type="dxa"/>
            <w:noWrap/>
          </w:tcPr>
          <w:p w14:paraId="130D0B64">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各类LED宣传屏维护</w:t>
            </w:r>
          </w:p>
        </w:tc>
        <w:tc>
          <w:tcPr>
            <w:tcW w:w="1080" w:type="dxa"/>
            <w:noWrap/>
          </w:tcPr>
          <w:p w14:paraId="22EFD08D">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w:t>
            </w:r>
          </w:p>
        </w:tc>
        <w:tc>
          <w:tcPr>
            <w:tcW w:w="2200" w:type="dxa"/>
            <w:noWrap/>
          </w:tcPr>
          <w:p w14:paraId="50779BFC">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w:t>
            </w:r>
          </w:p>
        </w:tc>
        <w:tc>
          <w:tcPr>
            <w:tcW w:w="1064" w:type="dxa"/>
            <w:noWrap/>
          </w:tcPr>
          <w:p w14:paraId="102C8532">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保证正常使用</w:t>
            </w:r>
          </w:p>
        </w:tc>
      </w:tr>
      <w:tr w14:paraId="72446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noWrap/>
          </w:tcPr>
          <w:p w14:paraId="3B8CBBBB">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12.3</w:t>
            </w:r>
          </w:p>
        </w:tc>
        <w:tc>
          <w:tcPr>
            <w:tcW w:w="3075" w:type="dxa"/>
            <w:noWrap/>
          </w:tcPr>
          <w:p w14:paraId="6A977DE2">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各项宣传费</w:t>
            </w:r>
          </w:p>
        </w:tc>
        <w:tc>
          <w:tcPr>
            <w:tcW w:w="1080" w:type="dxa"/>
            <w:noWrap/>
          </w:tcPr>
          <w:p w14:paraId="52181EAA">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元/年</w:t>
            </w:r>
          </w:p>
        </w:tc>
        <w:tc>
          <w:tcPr>
            <w:tcW w:w="2200" w:type="dxa"/>
            <w:noWrap/>
          </w:tcPr>
          <w:p w14:paraId="38B3EB79">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7517.88</w:t>
            </w:r>
          </w:p>
        </w:tc>
        <w:tc>
          <w:tcPr>
            <w:tcW w:w="1064" w:type="dxa"/>
            <w:noWrap/>
          </w:tcPr>
          <w:p w14:paraId="3CD0C450">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rPr>
                <w:rFonts w:hint="eastAsia" w:ascii="仿宋_GB2312" w:hAnsi="仿宋_GB2312" w:eastAsia="仿宋_GB2312" w:cs="仿宋_GB2312"/>
                <w:color w:val="auto"/>
                <w:kern w:val="2"/>
                <w:sz w:val="20"/>
                <w:szCs w:val="20"/>
                <w:lang w:val="en-US" w:eastAsia="zh-CN" w:bidi="ar-SA"/>
              </w:rPr>
            </w:pPr>
          </w:p>
        </w:tc>
      </w:tr>
    </w:tbl>
    <w:p w14:paraId="2F54D1FF">
      <w:pPr>
        <w:keepNext w:val="0"/>
        <w:keepLines w:val="0"/>
        <w:pageBreakBefore w:val="0"/>
        <w:widowControl w:val="0"/>
        <w:numPr>
          <w:ilvl w:val="0"/>
          <w:numId w:val="0"/>
        </w:numPr>
        <w:kinsoku/>
        <w:wordWrap/>
        <w:overflowPunct/>
        <w:topLinePunct w:val="0"/>
        <w:autoSpaceDE/>
        <w:autoSpaceDN/>
        <w:bidi w:val="0"/>
        <w:adjustRightInd/>
        <w:spacing w:line="360" w:lineRule="auto"/>
        <w:jc w:val="both"/>
        <w:rPr>
          <w:rFonts w:hint="eastAsia" w:ascii="仿宋_GB2312" w:hAnsi="仿宋_GB2312" w:eastAsia="仿宋_GB2312" w:cs="仿宋_GB2312"/>
          <w:b/>
          <w:bCs/>
          <w:color w:val="auto"/>
          <w:kern w:val="2"/>
          <w:sz w:val="20"/>
          <w:szCs w:val="20"/>
        </w:rPr>
      </w:pPr>
      <w:r>
        <w:rPr>
          <w:rFonts w:hint="eastAsia" w:ascii="仿宋_GB2312" w:hAnsi="仿宋_GB2312" w:eastAsia="仿宋_GB2312" w:cs="仿宋_GB2312"/>
          <w:b/>
          <w:bCs/>
          <w:color w:val="auto"/>
          <w:kern w:val="2"/>
          <w:sz w:val="20"/>
          <w:szCs w:val="20"/>
          <w:lang w:val="en-US" w:eastAsia="zh-CN" w:bidi="ar-SA"/>
        </w:rPr>
        <w:t>五、</w:t>
      </w:r>
      <w:r>
        <w:rPr>
          <w:rFonts w:hint="eastAsia" w:ascii="仿宋_GB2312" w:hAnsi="仿宋_GB2312" w:eastAsia="仿宋_GB2312" w:cs="仿宋_GB2312"/>
          <w:b/>
          <w:bCs/>
          <w:color w:val="auto"/>
          <w:kern w:val="2"/>
          <w:sz w:val="20"/>
          <w:szCs w:val="20"/>
        </w:rPr>
        <w:t>运行维护标准</w:t>
      </w:r>
    </w:p>
    <w:p w14:paraId="42B6A373">
      <w:pPr>
        <w:keepNext w:val="0"/>
        <w:keepLines w:val="0"/>
        <w:pageBreakBefore w:val="0"/>
        <w:widowControl w:val="0"/>
        <w:tabs>
          <w:tab w:val="left" w:pos="660"/>
        </w:tabs>
        <w:kinsoku/>
        <w:wordWrap/>
        <w:overflowPunct/>
        <w:topLinePunct w:val="0"/>
        <w:autoSpaceDE/>
        <w:autoSpaceDN/>
        <w:bidi w:val="0"/>
        <w:adjustRightInd/>
        <w:spacing w:line="360" w:lineRule="auto"/>
        <w:ind w:firstLine="402" w:firstLineChars="200"/>
        <w:jc w:val="both"/>
        <w:rPr>
          <w:rFonts w:hint="eastAsia" w:ascii="仿宋_GB2312" w:hAnsi="仿宋_GB2312" w:eastAsia="仿宋_GB2312" w:cs="仿宋_GB2312"/>
          <w:b/>
          <w:bCs/>
          <w:color w:val="auto"/>
          <w:kern w:val="2"/>
          <w:sz w:val="20"/>
          <w:szCs w:val="20"/>
        </w:rPr>
      </w:pPr>
      <w:r>
        <w:rPr>
          <w:rFonts w:hint="eastAsia" w:ascii="仿宋_GB2312" w:hAnsi="仿宋_GB2312" w:eastAsia="仿宋_GB2312" w:cs="仿宋_GB2312"/>
          <w:b/>
          <w:bCs/>
          <w:color w:val="auto"/>
          <w:kern w:val="2"/>
          <w:sz w:val="20"/>
          <w:szCs w:val="20"/>
        </w:rPr>
        <w:t>1、绿化养护</w:t>
      </w:r>
    </w:p>
    <w:p w14:paraId="01121BCC">
      <w:pPr>
        <w:keepNext w:val="0"/>
        <w:keepLines w:val="0"/>
        <w:pageBreakBefore w:val="0"/>
        <w:widowControl w:val="0"/>
        <w:kinsoku/>
        <w:wordWrap/>
        <w:overflowPunct/>
        <w:topLinePunct w:val="0"/>
        <w:autoSpaceDE/>
        <w:autoSpaceDN/>
        <w:bidi w:val="0"/>
        <w:adjustRightInd/>
        <w:snapToGrid w:val="0"/>
        <w:spacing w:line="360" w:lineRule="auto"/>
        <w:ind w:left="420" w:leftChars="200" w:firstLine="400" w:firstLineChars="200"/>
        <w:jc w:val="both"/>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革命公园绿化管护面积约7.03万㎡，湖面面积约0.71万㎡，园容保洁约2.43万㎡，常年性摆花约192㎡。</w:t>
      </w:r>
    </w:p>
    <w:p w14:paraId="223697C4">
      <w:pPr>
        <w:keepNext w:val="0"/>
        <w:keepLines w:val="0"/>
        <w:pageBreakBefore w:val="0"/>
        <w:widowControl w:val="0"/>
        <w:kinsoku/>
        <w:wordWrap/>
        <w:overflowPunct/>
        <w:topLinePunct w:val="0"/>
        <w:autoSpaceDE/>
        <w:autoSpaceDN/>
        <w:bidi w:val="0"/>
        <w:adjustRightInd/>
        <w:snapToGrid w:val="0"/>
        <w:spacing w:line="360" w:lineRule="auto"/>
        <w:ind w:left="420" w:leftChars="200" w:firstLine="400" w:firstLineChars="200"/>
        <w:jc w:val="both"/>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（1）质量标准</w:t>
      </w:r>
    </w:p>
    <w:p w14:paraId="7B732D05">
      <w:pPr>
        <w:keepNext w:val="0"/>
        <w:keepLines w:val="0"/>
        <w:pageBreakBefore w:val="0"/>
        <w:widowControl w:val="0"/>
        <w:kinsoku/>
        <w:wordWrap/>
        <w:overflowPunct/>
        <w:topLinePunct w:val="0"/>
        <w:autoSpaceDE/>
        <w:autoSpaceDN/>
        <w:bidi w:val="0"/>
        <w:adjustRightInd/>
        <w:snapToGrid w:val="0"/>
        <w:spacing w:line="360" w:lineRule="auto"/>
        <w:ind w:left="420" w:leftChars="200" w:firstLine="600" w:firstLineChars="300"/>
        <w:jc w:val="both"/>
        <w:rPr>
          <w:rFonts w:hint="eastAsia" w:ascii="仿宋_GB2312" w:hAnsi="仿宋_GB2312" w:eastAsia="仿宋_GB2312" w:cs="仿宋_GB2312"/>
          <w:b/>
          <w:bCs/>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质量标准：</w:t>
      </w:r>
      <w:r>
        <w:rPr>
          <w:rFonts w:hint="eastAsia" w:ascii="仿宋_GB2312" w:hAnsi="仿宋_GB2312" w:eastAsia="仿宋_GB2312" w:cs="仿宋_GB2312"/>
          <w:b/>
          <w:bCs/>
          <w:color w:val="auto"/>
          <w:kern w:val="2"/>
          <w:sz w:val="20"/>
          <w:szCs w:val="20"/>
          <w:lang w:val="en-US" w:eastAsia="zh-CN" w:bidi="ar-SA"/>
        </w:rPr>
        <w:t>绿化养护一级标准</w:t>
      </w:r>
    </w:p>
    <w:p w14:paraId="48566289">
      <w:pPr>
        <w:keepNext w:val="0"/>
        <w:keepLines w:val="0"/>
        <w:pageBreakBefore w:val="0"/>
        <w:widowControl w:val="0"/>
        <w:kinsoku/>
        <w:wordWrap/>
        <w:overflowPunct/>
        <w:topLinePunct w:val="0"/>
        <w:autoSpaceDE/>
        <w:autoSpaceDN/>
        <w:bidi w:val="0"/>
        <w:adjustRightInd/>
        <w:spacing w:line="360" w:lineRule="auto"/>
        <w:ind w:firstLine="800" w:firstLineChars="4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（2）整体效果：</w:t>
      </w:r>
    </w:p>
    <w:p w14:paraId="73205AF4">
      <w:pPr>
        <w:keepNext w:val="0"/>
        <w:keepLines w:val="0"/>
        <w:pageBreakBefore w:val="0"/>
        <w:widowControl w:val="0"/>
        <w:kinsoku/>
        <w:wordWrap/>
        <w:overflowPunct/>
        <w:topLinePunct w:val="0"/>
        <w:autoSpaceDE/>
        <w:autoSpaceDN/>
        <w:bidi w:val="0"/>
        <w:adjustRightInd/>
        <w:spacing w:line="360" w:lineRule="auto"/>
        <w:ind w:firstLine="800" w:firstLineChars="4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A.树林、树丛群落结构合理，植株疏密得当，层次分明，林冠线和林缘线清晰饱满；</w:t>
      </w:r>
    </w:p>
    <w:p w14:paraId="5A5D8EAD">
      <w:pPr>
        <w:keepNext w:val="0"/>
        <w:keepLines w:val="0"/>
        <w:pageBreakBefore w:val="0"/>
        <w:widowControl w:val="0"/>
        <w:kinsoku/>
        <w:wordWrap/>
        <w:overflowPunct/>
        <w:topLinePunct w:val="0"/>
        <w:autoSpaceDE/>
        <w:autoSpaceDN/>
        <w:bidi w:val="0"/>
        <w:adjustRightInd/>
        <w:spacing w:line="360" w:lineRule="auto"/>
        <w:ind w:firstLine="800" w:firstLineChars="4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B.孤植树树形完美，树冠饱满；</w:t>
      </w:r>
    </w:p>
    <w:p w14:paraId="36ACF5D6">
      <w:pPr>
        <w:keepNext w:val="0"/>
        <w:keepLines w:val="0"/>
        <w:pageBreakBefore w:val="0"/>
        <w:widowControl w:val="0"/>
        <w:kinsoku/>
        <w:wordWrap/>
        <w:overflowPunct/>
        <w:topLinePunct w:val="0"/>
        <w:autoSpaceDE/>
        <w:autoSpaceDN/>
        <w:bidi w:val="0"/>
        <w:adjustRightInd/>
        <w:spacing w:line="360" w:lineRule="auto"/>
        <w:ind w:firstLine="800" w:firstLineChars="4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C.行道树树冠完整，规格整齐、一致，分枝点高度一致，缺枝≤3%，树干挺直；</w:t>
      </w:r>
    </w:p>
    <w:p w14:paraId="27B506CA">
      <w:pPr>
        <w:keepNext w:val="0"/>
        <w:keepLines w:val="0"/>
        <w:pageBreakBefore w:val="0"/>
        <w:widowControl w:val="0"/>
        <w:kinsoku/>
        <w:wordWrap/>
        <w:overflowPunct/>
        <w:topLinePunct w:val="0"/>
        <w:autoSpaceDE/>
        <w:autoSpaceDN/>
        <w:bidi w:val="0"/>
        <w:adjustRightInd/>
        <w:spacing w:line="360" w:lineRule="auto"/>
        <w:ind w:firstLine="800" w:firstLineChars="4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D.绿篱无缺珠，修剪面平整饱满，直线处平直，曲线处弧度圆润；</w:t>
      </w:r>
    </w:p>
    <w:p w14:paraId="6A4CA81A">
      <w:pPr>
        <w:keepNext w:val="0"/>
        <w:keepLines w:val="0"/>
        <w:pageBreakBefore w:val="0"/>
        <w:widowControl w:val="0"/>
        <w:kinsoku/>
        <w:wordWrap/>
        <w:overflowPunct/>
        <w:topLinePunct w:val="0"/>
        <w:autoSpaceDE/>
        <w:autoSpaceDN/>
        <w:bidi w:val="0"/>
        <w:adjustRightInd/>
        <w:spacing w:line="360" w:lineRule="auto"/>
        <w:ind w:firstLine="800" w:firstLineChars="4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E.生长势 枝叶生长茂盛，观花、观果树种正常开花结果，彩色树种季相特征明显，无枯枝；</w:t>
      </w:r>
    </w:p>
    <w:p w14:paraId="6A05D8FC">
      <w:pPr>
        <w:keepNext w:val="0"/>
        <w:keepLines w:val="0"/>
        <w:pageBreakBefore w:val="0"/>
        <w:widowControl w:val="0"/>
        <w:kinsoku/>
        <w:wordWrap/>
        <w:overflowPunct/>
        <w:topLinePunct w:val="0"/>
        <w:autoSpaceDE/>
        <w:autoSpaceDN/>
        <w:bidi w:val="0"/>
        <w:adjustRightInd/>
        <w:spacing w:line="360" w:lineRule="auto"/>
        <w:ind w:firstLine="800" w:firstLineChars="4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F.排灌</w:t>
      </w:r>
    </w:p>
    <w:p w14:paraId="783EF977">
      <w:pPr>
        <w:keepNext w:val="0"/>
        <w:keepLines w:val="0"/>
        <w:pageBreakBefore w:val="0"/>
        <w:widowControl w:val="0"/>
        <w:kinsoku/>
        <w:wordWrap/>
        <w:overflowPunct/>
        <w:topLinePunct w:val="0"/>
        <w:autoSpaceDE/>
        <w:autoSpaceDN/>
        <w:bidi w:val="0"/>
        <w:adjustRightInd/>
        <w:spacing w:line="360" w:lineRule="auto"/>
        <w:ind w:firstLine="800" w:firstLineChars="4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1）暴雨后0.5</w:t>
      </w:r>
      <w:r>
        <w:rPr>
          <w:rFonts w:hint="eastAsia" w:ascii="仿宋_GB2312" w:hAnsi="仿宋_GB2312" w:eastAsia="仿宋_GB2312" w:cs="仿宋_GB2312"/>
          <w:color w:val="auto"/>
          <w:kern w:val="2"/>
          <w:sz w:val="20"/>
          <w:szCs w:val="20"/>
          <w:lang w:val="en-US" w:eastAsia="zh-CN"/>
        </w:rPr>
        <w:t>天</w:t>
      </w:r>
      <w:r>
        <w:rPr>
          <w:rFonts w:hint="eastAsia" w:ascii="仿宋_GB2312" w:hAnsi="仿宋_GB2312" w:eastAsia="仿宋_GB2312" w:cs="仿宋_GB2312"/>
          <w:color w:val="auto"/>
          <w:kern w:val="2"/>
          <w:sz w:val="20"/>
          <w:szCs w:val="20"/>
        </w:rPr>
        <w:t>内无积水；</w:t>
      </w:r>
    </w:p>
    <w:p w14:paraId="52FF71EA">
      <w:pPr>
        <w:keepNext w:val="0"/>
        <w:keepLines w:val="0"/>
        <w:pageBreakBefore w:val="0"/>
        <w:widowControl w:val="0"/>
        <w:kinsoku/>
        <w:wordWrap/>
        <w:overflowPunct/>
        <w:topLinePunct w:val="0"/>
        <w:autoSpaceDE/>
        <w:autoSpaceDN/>
        <w:bidi w:val="0"/>
        <w:adjustRightInd/>
        <w:spacing w:line="360" w:lineRule="auto"/>
        <w:ind w:firstLine="800" w:firstLineChars="4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2）植株未出现失水萎焉和沥涝现象</w:t>
      </w:r>
    </w:p>
    <w:p w14:paraId="2106C792">
      <w:pPr>
        <w:keepNext w:val="0"/>
        <w:keepLines w:val="0"/>
        <w:pageBreakBefore w:val="0"/>
        <w:widowControl w:val="0"/>
        <w:kinsoku/>
        <w:wordWrap/>
        <w:overflowPunct/>
        <w:topLinePunct w:val="0"/>
        <w:autoSpaceDE/>
        <w:autoSpaceDN/>
        <w:bidi w:val="0"/>
        <w:adjustRightInd/>
        <w:spacing w:line="360" w:lineRule="auto"/>
        <w:ind w:firstLine="800" w:firstLineChars="4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G.病虫害情况</w:t>
      </w:r>
    </w:p>
    <w:p w14:paraId="30F6EE32">
      <w:pPr>
        <w:keepNext w:val="0"/>
        <w:keepLines w:val="0"/>
        <w:pageBreakBefore w:val="0"/>
        <w:widowControl w:val="0"/>
        <w:kinsoku/>
        <w:wordWrap/>
        <w:overflowPunct/>
        <w:topLinePunct w:val="0"/>
        <w:autoSpaceDE/>
        <w:autoSpaceDN/>
        <w:bidi w:val="0"/>
        <w:adjustRightInd/>
        <w:spacing w:line="360" w:lineRule="auto"/>
        <w:ind w:firstLine="600" w:firstLineChars="3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1）基本无有害生物危害状；</w:t>
      </w:r>
    </w:p>
    <w:p w14:paraId="247E025A">
      <w:pPr>
        <w:keepNext w:val="0"/>
        <w:keepLines w:val="0"/>
        <w:pageBreakBefore w:val="0"/>
        <w:widowControl w:val="0"/>
        <w:kinsoku/>
        <w:wordWrap/>
        <w:overflowPunct/>
        <w:topLinePunct w:val="0"/>
        <w:autoSpaceDE/>
        <w:autoSpaceDN/>
        <w:bidi w:val="0"/>
        <w:adjustRightInd/>
        <w:spacing w:line="360" w:lineRule="auto"/>
        <w:ind w:firstLine="600" w:firstLineChars="3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2）整体枝叶受害率≤8%，树干受害率≤5%。</w:t>
      </w:r>
    </w:p>
    <w:p w14:paraId="429A8092">
      <w:pPr>
        <w:keepNext w:val="0"/>
        <w:keepLines w:val="0"/>
        <w:pageBreakBefore w:val="0"/>
        <w:widowControl w:val="0"/>
        <w:kinsoku/>
        <w:wordWrap/>
        <w:overflowPunct/>
        <w:topLinePunct w:val="0"/>
        <w:autoSpaceDE/>
        <w:autoSpaceDN/>
        <w:bidi w:val="0"/>
        <w:adjustRightInd/>
        <w:spacing w:line="360" w:lineRule="auto"/>
        <w:ind w:firstLine="800" w:firstLineChars="4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H.补植完成时间≤3</w:t>
      </w:r>
      <w:r>
        <w:rPr>
          <w:rFonts w:hint="eastAsia" w:ascii="仿宋_GB2312" w:hAnsi="仿宋_GB2312" w:eastAsia="仿宋_GB2312" w:cs="仿宋_GB2312"/>
          <w:color w:val="auto"/>
          <w:kern w:val="2"/>
          <w:sz w:val="20"/>
          <w:szCs w:val="20"/>
          <w:lang w:val="en-US" w:eastAsia="zh-CN"/>
        </w:rPr>
        <w:t>天</w:t>
      </w:r>
      <w:r>
        <w:rPr>
          <w:rFonts w:hint="eastAsia" w:ascii="仿宋_GB2312" w:hAnsi="仿宋_GB2312" w:eastAsia="仿宋_GB2312" w:cs="仿宋_GB2312"/>
          <w:color w:val="auto"/>
          <w:kern w:val="2"/>
          <w:sz w:val="20"/>
          <w:szCs w:val="20"/>
        </w:rPr>
        <w:t>。</w:t>
      </w:r>
    </w:p>
    <w:p w14:paraId="0FE890B4">
      <w:pPr>
        <w:keepNext w:val="0"/>
        <w:keepLines w:val="0"/>
        <w:pageBreakBefore w:val="0"/>
        <w:widowControl w:val="0"/>
        <w:kinsoku/>
        <w:wordWrap/>
        <w:overflowPunct/>
        <w:topLinePunct w:val="0"/>
        <w:autoSpaceDE/>
        <w:autoSpaceDN/>
        <w:bidi w:val="0"/>
        <w:adjustRightInd/>
        <w:spacing w:line="360" w:lineRule="auto"/>
        <w:ind w:firstLine="600" w:firstLineChars="3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(3)花卉养护质量等级</w:t>
      </w:r>
    </w:p>
    <w:p w14:paraId="69981819">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 xml:space="preserve">A.整体效果 </w:t>
      </w:r>
    </w:p>
    <w:p w14:paraId="15D406A1">
      <w:pPr>
        <w:keepNext w:val="0"/>
        <w:keepLines w:val="0"/>
        <w:pageBreakBefore w:val="0"/>
        <w:widowControl w:val="0"/>
        <w:kinsoku/>
        <w:wordWrap/>
        <w:overflowPunct/>
        <w:topLinePunct w:val="0"/>
        <w:autoSpaceDE/>
        <w:autoSpaceDN/>
        <w:bidi w:val="0"/>
        <w:adjustRightInd/>
        <w:spacing w:line="360" w:lineRule="auto"/>
        <w:ind w:firstLine="600" w:firstLineChars="3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1)缺株倒伏的花苗≤3%；</w:t>
      </w:r>
    </w:p>
    <w:p w14:paraId="66EC7148">
      <w:pPr>
        <w:keepNext w:val="0"/>
        <w:keepLines w:val="0"/>
        <w:pageBreakBefore w:val="0"/>
        <w:widowControl w:val="0"/>
        <w:kinsoku/>
        <w:wordWrap/>
        <w:overflowPunct/>
        <w:topLinePunct w:val="0"/>
        <w:autoSpaceDE/>
        <w:autoSpaceDN/>
        <w:bidi w:val="0"/>
        <w:adjustRightInd/>
        <w:spacing w:line="360" w:lineRule="auto"/>
        <w:ind w:firstLine="600" w:firstLineChars="3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2)基本无枯叶残花</w:t>
      </w:r>
    </w:p>
    <w:p w14:paraId="73AF4077">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 xml:space="preserve">B.生长势 </w:t>
      </w:r>
    </w:p>
    <w:p w14:paraId="681F8F57">
      <w:pPr>
        <w:keepNext w:val="0"/>
        <w:keepLines w:val="0"/>
        <w:pageBreakBefore w:val="0"/>
        <w:widowControl w:val="0"/>
        <w:kinsoku/>
        <w:wordWrap/>
        <w:overflowPunct/>
        <w:topLinePunct w:val="0"/>
        <w:autoSpaceDE/>
        <w:autoSpaceDN/>
        <w:bidi w:val="0"/>
        <w:adjustRightInd/>
        <w:spacing w:line="360" w:lineRule="auto"/>
        <w:ind w:firstLine="800" w:firstLineChars="4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1)植株生长健壮；</w:t>
      </w:r>
    </w:p>
    <w:p w14:paraId="5FD6D7AE">
      <w:pPr>
        <w:keepNext w:val="0"/>
        <w:keepLines w:val="0"/>
        <w:pageBreakBefore w:val="0"/>
        <w:widowControl w:val="0"/>
        <w:kinsoku/>
        <w:wordWrap/>
        <w:overflowPunct/>
        <w:topLinePunct w:val="0"/>
        <w:autoSpaceDE/>
        <w:autoSpaceDN/>
        <w:bidi w:val="0"/>
        <w:adjustRightInd/>
        <w:spacing w:line="360" w:lineRule="auto"/>
        <w:ind w:firstLine="800" w:firstLineChars="4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2)茎干粗壮,基部分枝强健，蓬径饱满；</w:t>
      </w:r>
    </w:p>
    <w:p w14:paraId="4F2026B0">
      <w:pPr>
        <w:keepNext w:val="0"/>
        <w:keepLines w:val="0"/>
        <w:pageBreakBefore w:val="0"/>
        <w:widowControl w:val="0"/>
        <w:kinsoku/>
        <w:wordWrap/>
        <w:overflowPunct/>
        <w:topLinePunct w:val="0"/>
        <w:autoSpaceDE/>
        <w:autoSpaceDN/>
        <w:bidi w:val="0"/>
        <w:adjustRightInd/>
        <w:spacing w:line="360" w:lineRule="auto"/>
        <w:ind w:firstLine="800" w:firstLineChars="4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3)花型美观,花色鲜艳,株高一致</w:t>
      </w:r>
    </w:p>
    <w:p w14:paraId="0535A8E4">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C.排灌</w:t>
      </w:r>
    </w:p>
    <w:p w14:paraId="27DC2B45">
      <w:pPr>
        <w:keepNext w:val="0"/>
        <w:keepLines w:val="0"/>
        <w:pageBreakBefore w:val="0"/>
        <w:widowControl w:val="0"/>
        <w:kinsoku/>
        <w:wordWrap/>
        <w:overflowPunct/>
        <w:topLinePunct w:val="0"/>
        <w:autoSpaceDE/>
        <w:autoSpaceDN/>
        <w:bidi w:val="0"/>
        <w:adjustRightInd/>
        <w:spacing w:line="360" w:lineRule="auto"/>
        <w:ind w:firstLine="800" w:firstLineChars="4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1)暴雨后0.5</w:t>
      </w:r>
      <w:r>
        <w:rPr>
          <w:rFonts w:hint="eastAsia" w:ascii="仿宋_GB2312" w:hAnsi="仿宋_GB2312" w:eastAsia="仿宋_GB2312" w:cs="仿宋_GB2312"/>
          <w:color w:val="auto"/>
          <w:kern w:val="2"/>
          <w:sz w:val="20"/>
          <w:szCs w:val="20"/>
          <w:lang w:eastAsia="zh-CN"/>
        </w:rPr>
        <w:t>天</w:t>
      </w:r>
      <w:r>
        <w:rPr>
          <w:rFonts w:hint="eastAsia" w:ascii="仿宋_GB2312" w:hAnsi="仿宋_GB2312" w:eastAsia="仿宋_GB2312" w:cs="仿宋_GB2312"/>
          <w:color w:val="auto"/>
          <w:kern w:val="2"/>
          <w:sz w:val="20"/>
          <w:szCs w:val="20"/>
        </w:rPr>
        <w:t>内无积水;</w:t>
      </w:r>
    </w:p>
    <w:p w14:paraId="5A8011FF">
      <w:pPr>
        <w:keepNext w:val="0"/>
        <w:keepLines w:val="0"/>
        <w:pageBreakBefore w:val="0"/>
        <w:widowControl w:val="0"/>
        <w:kinsoku/>
        <w:wordWrap/>
        <w:overflowPunct/>
        <w:topLinePunct w:val="0"/>
        <w:autoSpaceDE/>
        <w:autoSpaceDN/>
        <w:bidi w:val="0"/>
        <w:adjustRightInd/>
        <w:spacing w:line="360" w:lineRule="auto"/>
        <w:ind w:firstLine="800" w:firstLineChars="4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2)植株未出现失水萎蔫现象</w:t>
      </w:r>
    </w:p>
    <w:p w14:paraId="6F877765">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D.病虫害情况</w:t>
      </w:r>
    </w:p>
    <w:p w14:paraId="3E8F830E">
      <w:pPr>
        <w:keepNext w:val="0"/>
        <w:keepLines w:val="0"/>
        <w:pageBreakBefore w:val="0"/>
        <w:widowControl w:val="0"/>
        <w:kinsoku/>
        <w:wordWrap/>
        <w:overflowPunct/>
        <w:topLinePunct w:val="0"/>
        <w:autoSpaceDE/>
        <w:autoSpaceDN/>
        <w:bidi w:val="0"/>
        <w:adjustRightInd/>
        <w:spacing w:line="360" w:lineRule="auto"/>
        <w:ind w:firstLine="800" w:firstLineChars="4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1）基本无有害生物状；</w:t>
      </w:r>
    </w:p>
    <w:p w14:paraId="4A9DBE93">
      <w:pPr>
        <w:keepNext w:val="0"/>
        <w:keepLines w:val="0"/>
        <w:pageBreakBefore w:val="0"/>
        <w:widowControl w:val="0"/>
        <w:kinsoku/>
        <w:wordWrap/>
        <w:overflowPunct/>
        <w:topLinePunct w:val="0"/>
        <w:autoSpaceDE/>
        <w:autoSpaceDN/>
        <w:bidi w:val="0"/>
        <w:adjustRightInd/>
        <w:spacing w:line="360" w:lineRule="auto"/>
        <w:ind w:firstLine="800" w:firstLineChars="4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2）植株受害率≤5%</w:t>
      </w:r>
    </w:p>
    <w:p w14:paraId="761DC07C">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E.杂草覆盖率≤2%</w:t>
      </w:r>
    </w:p>
    <w:p w14:paraId="3BC8262E">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lang w:eastAsia="zh-CN"/>
        </w:rPr>
      </w:pPr>
      <w:r>
        <w:rPr>
          <w:rFonts w:hint="eastAsia" w:ascii="仿宋_GB2312" w:hAnsi="仿宋_GB2312" w:eastAsia="仿宋_GB2312" w:cs="仿宋_GB2312"/>
          <w:color w:val="auto"/>
          <w:kern w:val="2"/>
          <w:sz w:val="20"/>
          <w:szCs w:val="20"/>
        </w:rPr>
        <w:t>F.补植完成时间≤3</w:t>
      </w:r>
      <w:r>
        <w:rPr>
          <w:rFonts w:hint="eastAsia" w:ascii="仿宋_GB2312" w:hAnsi="仿宋_GB2312" w:eastAsia="仿宋_GB2312" w:cs="仿宋_GB2312"/>
          <w:color w:val="auto"/>
          <w:kern w:val="2"/>
          <w:sz w:val="20"/>
          <w:szCs w:val="20"/>
          <w:lang w:val="en-US" w:eastAsia="zh-CN"/>
        </w:rPr>
        <w:t>天</w:t>
      </w:r>
    </w:p>
    <w:p w14:paraId="3E87A3A7">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（3）草坪养护质量等级</w:t>
      </w:r>
    </w:p>
    <w:p w14:paraId="4130577D">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A.整体效果</w:t>
      </w:r>
    </w:p>
    <w:p w14:paraId="48D84E4E">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1)成坪高度应符合现行国家标准《主要花卉产品等级第7部分:草坪》GB/T18247.7中开放型绿地草坪一级标准的要求;</w:t>
      </w:r>
    </w:p>
    <w:p w14:paraId="1D9DA6B5">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2)修剪后无残留草屑,剪口无焦枯、撕裂现象</w:t>
      </w:r>
    </w:p>
    <w:p w14:paraId="18C72742">
      <w:pPr>
        <w:keepNext w:val="0"/>
        <w:keepLines w:val="0"/>
        <w:pageBreakBefore w:val="0"/>
        <w:widowControl w:val="0"/>
        <w:kinsoku/>
        <w:wordWrap/>
        <w:overflowPunct/>
        <w:topLinePunct w:val="0"/>
        <w:autoSpaceDE/>
        <w:autoSpaceDN/>
        <w:bidi w:val="0"/>
        <w:adjustRightInd/>
        <w:spacing w:line="360" w:lineRule="auto"/>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B.生长势：生长茂盛</w:t>
      </w:r>
    </w:p>
    <w:p w14:paraId="478C9A1A">
      <w:pPr>
        <w:keepNext w:val="0"/>
        <w:keepLines w:val="0"/>
        <w:pageBreakBefore w:val="0"/>
        <w:widowControl w:val="0"/>
        <w:kinsoku/>
        <w:wordWrap/>
        <w:overflowPunct/>
        <w:topLinePunct w:val="0"/>
        <w:autoSpaceDE/>
        <w:autoSpaceDN/>
        <w:bidi w:val="0"/>
        <w:adjustRightInd/>
        <w:spacing w:line="360" w:lineRule="auto"/>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C.排灌</w:t>
      </w:r>
    </w:p>
    <w:p w14:paraId="6F36EEC9">
      <w:pPr>
        <w:keepNext w:val="0"/>
        <w:keepLines w:val="0"/>
        <w:pageBreakBefore w:val="0"/>
        <w:widowControl w:val="0"/>
        <w:kinsoku/>
        <w:wordWrap/>
        <w:overflowPunct/>
        <w:topLinePunct w:val="0"/>
        <w:autoSpaceDE/>
        <w:autoSpaceDN/>
        <w:bidi w:val="0"/>
        <w:adjustRightInd/>
        <w:spacing w:line="360" w:lineRule="auto"/>
        <w:ind w:firstLine="200" w:firstLineChars="1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1)暴雨后0.5</w:t>
      </w:r>
      <w:r>
        <w:rPr>
          <w:rFonts w:hint="eastAsia" w:ascii="仿宋_GB2312" w:hAnsi="仿宋_GB2312" w:eastAsia="仿宋_GB2312" w:cs="仿宋_GB2312"/>
          <w:color w:val="auto"/>
          <w:kern w:val="2"/>
          <w:sz w:val="20"/>
          <w:szCs w:val="20"/>
          <w:lang w:eastAsia="zh-CN"/>
        </w:rPr>
        <w:t>天</w:t>
      </w:r>
      <w:r>
        <w:rPr>
          <w:rFonts w:hint="eastAsia" w:ascii="仿宋_GB2312" w:hAnsi="仿宋_GB2312" w:eastAsia="仿宋_GB2312" w:cs="仿宋_GB2312"/>
          <w:color w:val="auto"/>
          <w:kern w:val="2"/>
          <w:sz w:val="20"/>
          <w:szCs w:val="20"/>
        </w:rPr>
        <w:t>内无积水；</w:t>
      </w:r>
    </w:p>
    <w:p w14:paraId="048A20CA">
      <w:pPr>
        <w:keepNext w:val="0"/>
        <w:keepLines w:val="0"/>
        <w:pageBreakBefore w:val="0"/>
        <w:widowControl w:val="0"/>
        <w:kinsoku/>
        <w:wordWrap/>
        <w:overflowPunct/>
        <w:topLinePunct w:val="0"/>
        <w:autoSpaceDE/>
        <w:autoSpaceDN/>
        <w:bidi w:val="0"/>
        <w:adjustRightInd/>
        <w:spacing w:line="360" w:lineRule="auto"/>
        <w:ind w:firstLine="200" w:firstLineChars="1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2)草坪无失水萎蔫现象</w:t>
      </w:r>
    </w:p>
    <w:p w14:paraId="40FD78AE">
      <w:pPr>
        <w:keepNext w:val="0"/>
        <w:keepLines w:val="0"/>
        <w:pageBreakBefore w:val="0"/>
        <w:widowControl w:val="0"/>
        <w:kinsoku/>
        <w:wordWrap/>
        <w:overflowPunct/>
        <w:topLinePunct w:val="0"/>
        <w:autoSpaceDE/>
        <w:autoSpaceDN/>
        <w:bidi w:val="0"/>
        <w:adjustRightInd/>
        <w:spacing w:line="360" w:lineRule="auto"/>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D.病虫害情况</w:t>
      </w:r>
    </w:p>
    <w:p w14:paraId="758568D6">
      <w:pPr>
        <w:keepNext w:val="0"/>
        <w:keepLines w:val="0"/>
        <w:pageBreakBefore w:val="0"/>
        <w:widowControl w:val="0"/>
        <w:kinsoku/>
        <w:wordWrap/>
        <w:overflowPunct/>
        <w:topLinePunct w:val="0"/>
        <w:autoSpaceDE/>
        <w:autoSpaceDN/>
        <w:bidi w:val="0"/>
        <w:adjustRightInd/>
        <w:spacing w:line="360" w:lineRule="auto"/>
        <w:ind w:firstLine="600" w:firstLineChars="3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1)草坪草受害度应符合现行国家标准《主要花卉产品等级第7部分:草坪》GB/T18247.7中开放型绿地草坪一级标准的要求；</w:t>
      </w:r>
    </w:p>
    <w:p w14:paraId="7C82D2A7">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2）杂草率应符合现行国家标准《主要花卉产品等级第7部分:草坪》GB/T18247.7中开放型绿地草坪一级标准的要求</w:t>
      </w:r>
    </w:p>
    <w:p w14:paraId="34444649">
      <w:pPr>
        <w:keepNext w:val="0"/>
        <w:keepLines w:val="0"/>
        <w:pageBreakBefore w:val="0"/>
        <w:widowControl w:val="0"/>
        <w:kinsoku/>
        <w:wordWrap/>
        <w:overflowPunct/>
        <w:topLinePunct w:val="0"/>
        <w:autoSpaceDE/>
        <w:autoSpaceDN/>
        <w:bidi w:val="0"/>
        <w:adjustRightInd/>
        <w:spacing w:line="360" w:lineRule="auto"/>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E.覆盖度应符合现行国家标准《主要花卉产品等级第7部分:草坪》GB/T18247.7中开放型绿地草坪一级标准的要求</w:t>
      </w:r>
    </w:p>
    <w:p w14:paraId="58208A8D">
      <w:pPr>
        <w:keepNext w:val="0"/>
        <w:keepLines w:val="0"/>
        <w:pageBreakBefore w:val="0"/>
        <w:widowControl w:val="0"/>
        <w:kinsoku/>
        <w:wordWrap/>
        <w:overflowPunct/>
        <w:topLinePunct w:val="0"/>
        <w:autoSpaceDE/>
        <w:autoSpaceDN/>
        <w:bidi w:val="0"/>
        <w:adjustRightInd/>
        <w:spacing w:line="360" w:lineRule="auto"/>
        <w:jc w:val="both"/>
        <w:rPr>
          <w:rFonts w:hint="eastAsia" w:ascii="仿宋_GB2312" w:hAnsi="仿宋_GB2312" w:eastAsia="仿宋_GB2312" w:cs="仿宋_GB2312"/>
          <w:color w:val="auto"/>
          <w:kern w:val="2"/>
          <w:sz w:val="20"/>
          <w:szCs w:val="20"/>
          <w:lang w:eastAsia="zh-CN"/>
        </w:rPr>
      </w:pPr>
      <w:r>
        <w:rPr>
          <w:rFonts w:hint="eastAsia" w:ascii="仿宋_GB2312" w:hAnsi="仿宋_GB2312" w:eastAsia="仿宋_GB2312" w:cs="仿宋_GB2312"/>
          <w:color w:val="auto"/>
          <w:kern w:val="2"/>
          <w:sz w:val="20"/>
          <w:szCs w:val="20"/>
        </w:rPr>
        <w:t>F.补植完成时间≤3</w:t>
      </w:r>
      <w:r>
        <w:rPr>
          <w:rFonts w:hint="eastAsia" w:ascii="仿宋_GB2312" w:hAnsi="仿宋_GB2312" w:eastAsia="仿宋_GB2312" w:cs="仿宋_GB2312"/>
          <w:color w:val="auto"/>
          <w:kern w:val="2"/>
          <w:sz w:val="20"/>
          <w:szCs w:val="20"/>
          <w:lang w:eastAsia="zh-CN"/>
        </w:rPr>
        <w:t>天</w:t>
      </w:r>
    </w:p>
    <w:p w14:paraId="1C2273C9">
      <w:pPr>
        <w:keepNext w:val="0"/>
        <w:keepLines w:val="0"/>
        <w:pageBreakBefore w:val="0"/>
        <w:widowControl w:val="0"/>
        <w:kinsoku/>
        <w:wordWrap/>
        <w:overflowPunct/>
        <w:topLinePunct w:val="0"/>
        <w:autoSpaceDE/>
        <w:autoSpaceDN/>
        <w:bidi w:val="0"/>
        <w:adjustRightInd/>
        <w:spacing w:line="360" w:lineRule="auto"/>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（5）地被养护质量等级</w:t>
      </w:r>
    </w:p>
    <w:p w14:paraId="77AAEBCA">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A.整体效果</w:t>
      </w:r>
    </w:p>
    <w:p w14:paraId="1ACB55AC">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1）植株规格一致；</w:t>
      </w:r>
    </w:p>
    <w:p w14:paraId="7A981B6A">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2）无死株，群体景观效果好</w:t>
      </w:r>
    </w:p>
    <w:p w14:paraId="651C61D3">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B.生长势:生长茂盛</w:t>
      </w:r>
    </w:p>
    <w:p w14:paraId="6C0A1D57">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C.排灌</w:t>
      </w:r>
    </w:p>
    <w:p w14:paraId="149B38EF">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1）木本地被暴雨后0.5</w:t>
      </w:r>
      <w:r>
        <w:rPr>
          <w:rFonts w:hint="eastAsia" w:ascii="仿宋_GB2312" w:hAnsi="仿宋_GB2312" w:eastAsia="仿宋_GB2312" w:cs="仿宋_GB2312"/>
          <w:color w:val="auto"/>
          <w:kern w:val="2"/>
          <w:sz w:val="20"/>
          <w:szCs w:val="20"/>
          <w:lang w:eastAsia="zh-CN"/>
        </w:rPr>
        <w:t>天</w:t>
      </w:r>
      <w:r>
        <w:rPr>
          <w:rFonts w:hint="eastAsia" w:ascii="仿宋_GB2312" w:hAnsi="仿宋_GB2312" w:eastAsia="仿宋_GB2312" w:cs="仿宋_GB2312"/>
          <w:color w:val="auto"/>
          <w:kern w:val="2"/>
          <w:sz w:val="20"/>
          <w:szCs w:val="20"/>
        </w:rPr>
        <w:t>内无积水；草本地被雨后1</w:t>
      </w:r>
      <w:r>
        <w:rPr>
          <w:rFonts w:hint="eastAsia" w:ascii="仿宋_GB2312" w:hAnsi="仿宋_GB2312" w:eastAsia="仿宋_GB2312" w:cs="仿宋_GB2312"/>
          <w:color w:val="auto"/>
          <w:kern w:val="2"/>
          <w:sz w:val="20"/>
          <w:szCs w:val="20"/>
          <w:lang w:val="en-US" w:eastAsia="zh-CN"/>
        </w:rPr>
        <w:t>小时</w:t>
      </w:r>
      <w:r>
        <w:rPr>
          <w:rFonts w:hint="eastAsia" w:ascii="仿宋_GB2312" w:hAnsi="仿宋_GB2312" w:eastAsia="仿宋_GB2312" w:cs="仿宋_GB2312"/>
          <w:color w:val="auto"/>
          <w:kern w:val="2"/>
          <w:sz w:val="20"/>
          <w:szCs w:val="20"/>
        </w:rPr>
        <w:t>无积水；</w:t>
      </w:r>
    </w:p>
    <w:p w14:paraId="4D569F8C">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2）植株无失水萎蔫现象</w:t>
      </w:r>
    </w:p>
    <w:p w14:paraId="35D9D3C9">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D.病虫害情况</w:t>
      </w:r>
    </w:p>
    <w:p w14:paraId="26EEF0DB">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1）基本无有害生物危害状；</w:t>
      </w:r>
    </w:p>
    <w:p w14:paraId="3A17E83F">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2）受害率≤10％；</w:t>
      </w:r>
    </w:p>
    <w:p w14:paraId="1715043D">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3）无影响景观杂草</w:t>
      </w:r>
    </w:p>
    <w:p w14:paraId="6AE47FC6">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E.覆盖率≥95％</w:t>
      </w:r>
    </w:p>
    <w:p w14:paraId="299EA17E">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F.补植完成时间≤3</w:t>
      </w:r>
      <w:r>
        <w:rPr>
          <w:rFonts w:hint="eastAsia" w:ascii="仿宋_GB2312" w:hAnsi="仿宋_GB2312" w:eastAsia="仿宋_GB2312" w:cs="仿宋_GB2312"/>
          <w:color w:val="auto"/>
          <w:kern w:val="2"/>
          <w:sz w:val="20"/>
          <w:szCs w:val="20"/>
          <w:lang w:eastAsia="zh-CN"/>
        </w:rPr>
        <w:t>天</w:t>
      </w:r>
    </w:p>
    <w:p w14:paraId="42C74D8D">
      <w:pPr>
        <w:keepNext w:val="0"/>
        <w:keepLines w:val="0"/>
        <w:pageBreakBefore w:val="0"/>
        <w:widowControl w:val="0"/>
        <w:kinsoku/>
        <w:wordWrap/>
        <w:overflowPunct/>
        <w:topLinePunct w:val="0"/>
        <w:autoSpaceDE/>
        <w:autoSpaceDN/>
        <w:bidi w:val="0"/>
        <w:adjustRightInd/>
        <w:spacing w:line="360" w:lineRule="auto"/>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（6）水生植物养护质量等级</w:t>
      </w:r>
    </w:p>
    <w:p w14:paraId="5199F328">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1、整体效果:景观效果美观，无残花败叶漂浮</w:t>
      </w:r>
    </w:p>
    <w:p w14:paraId="2BCC2203">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2、生长势</w:t>
      </w:r>
    </w:p>
    <w:p w14:paraId="21B0BD1A">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1）植株生长健壮；</w:t>
      </w:r>
    </w:p>
    <w:p w14:paraId="176E4165">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2）叶色正常：观花、观果植株正常开花结果；</w:t>
      </w:r>
    </w:p>
    <w:p w14:paraId="0E431E74">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3）枯死植株≤5％</w:t>
      </w:r>
    </w:p>
    <w:p w14:paraId="26B2A1BD">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3、排灌：暴雨后1</w:t>
      </w:r>
      <w:r>
        <w:rPr>
          <w:rFonts w:hint="eastAsia" w:ascii="仿宋_GB2312" w:hAnsi="仿宋_GB2312" w:eastAsia="仿宋_GB2312" w:cs="仿宋_GB2312"/>
          <w:color w:val="auto"/>
          <w:kern w:val="2"/>
          <w:sz w:val="20"/>
          <w:szCs w:val="20"/>
          <w:lang w:eastAsia="zh-CN"/>
        </w:rPr>
        <w:t>天</w:t>
      </w:r>
      <w:r>
        <w:rPr>
          <w:rFonts w:hint="eastAsia" w:ascii="仿宋_GB2312" w:hAnsi="仿宋_GB2312" w:eastAsia="仿宋_GB2312" w:cs="仿宋_GB2312"/>
          <w:color w:val="auto"/>
          <w:kern w:val="2"/>
          <w:sz w:val="20"/>
          <w:szCs w:val="20"/>
        </w:rPr>
        <w:t>内恢复常水位</w:t>
      </w:r>
    </w:p>
    <w:p w14:paraId="02B815EF">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4、病虫害情况：基本无有害生物危害状，无杂草</w:t>
      </w:r>
    </w:p>
    <w:p w14:paraId="5F2C37E8">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5、覆盖率≥95％</w:t>
      </w:r>
    </w:p>
    <w:p w14:paraId="098D293F">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6、补植完成时间≤3</w:t>
      </w:r>
      <w:r>
        <w:rPr>
          <w:rFonts w:hint="eastAsia" w:ascii="仿宋_GB2312" w:hAnsi="仿宋_GB2312" w:eastAsia="仿宋_GB2312" w:cs="仿宋_GB2312"/>
          <w:color w:val="auto"/>
          <w:kern w:val="2"/>
          <w:sz w:val="20"/>
          <w:szCs w:val="20"/>
          <w:lang w:eastAsia="zh-CN"/>
        </w:rPr>
        <w:t>天</w:t>
      </w:r>
    </w:p>
    <w:p w14:paraId="54ADF50F">
      <w:pPr>
        <w:keepNext w:val="0"/>
        <w:keepLines w:val="0"/>
        <w:pageBreakBefore w:val="0"/>
        <w:widowControl w:val="0"/>
        <w:kinsoku/>
        <w:wordWrap/>
        <w:overflowPunct/>
        <w:topLinePunct w:val="0"/>
        <w:autoSpaceDE/>
        <w:autoSpaceDN/>
        <w:bidi w:val="0"/>
        <w:adjustRightInd/>
        <w:spacing w:line="360" w:lineRule="auto"/>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（7）竹类养护质量等级</w:t>
      </w:r>
    </w:p>
    <w:p w14:paraId="098DC4AC">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A.整体效果</w:t>
      </w:r>
    </w:p>
    <w:p w14:paraId="037FB87D">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1）死竹、枯竹、破损竹≤3％；</w:t>
      </w:r>
    </w:p>
    <w:p w14:paraId="2443D151">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2）有完整的林相</w:t>
      </w:r>
    </w:p>
    <w:p w14:paraId="622DD842">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B.生长势</w:t>
      </w:r>
    </w:p>
    <w:p w14:paraId="390904DF">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1）竹丛通风透光，植株生长健壮；</w:t>
      </w:r>
    </w:p>
    <w:p w14:paraId="7F64E68D">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2）新、老竹生长比例适当；</w:t>
      </w:r>
    </w:p>
    <w:p w14:paraId="5D3EA3BE">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3）竹鞭无裸露</w:t>
      </w:r>
    </w:p>
    <w:p w14:paraId="31CACBDE">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C.排灌</w:t>
      </w:r>
    </w:p>
    <w:p w14:paraId="16702D32">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1）暴雨后0.5</w:t>
      </w:r>
      <w:r>
        <w:rPr>
          <w:rFonts w:hint="eastAsia" w:ascii="仿宋_GB2312" w:hAnsi="仿宋_GB2312" w:eastAsia="仿宋_GB2312" w:cs="仿宋_GB2312"/>
          <w:color w:val="auto"/>
          <w:kern w:val="2"/>
          <w:sz w:val="20"/>
          <w:szCs w:val="20"/>
          <w:lang w:eastAsia="zh-CN"/>
        </w:rPr>
        <w:t>天</w:t>
      </w:r>
      <w:r>
        <w:rPr>
          <w:rFonts w:hint="eastAsia" w:ascii="仿宋_GB2312" w:hAnsi="仿宋_GB2312" w:eastAsia="仿宋_GB2312" w:cs="仿宋_GB2312"/>
          <w:color w:val="auto"/>
          <w:kern w:val="2"/>
          <w:sz w:val="20"/>
          <w:szCs w:val="20"/>
        </w:rPr>
        <w:t>内无积水；</w:t>
      </w:r>
    </w:p>
    <w:p w14:paraId="3CC39E84">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2）植株无失水萎蔫现象</w:t>
      </w:r>
    </w:p>
    <w:p w14:paraId="6B62EDF6">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D.病虫害情况</w:t>
      </w:r>
    </w:p>
    <w:p w14:paraId="2882D5CC">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1）基本无有害生物危害状</w:t>
      </w:r>
    </w:p>
    <w:p w14:paraId="7825517E">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2）竹叶受害率≤8％：</w:t>
      </w:r>
    </w:p>
    <w:p w14:paraId="282283E3">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3）竹梢、竹秆受害率≤5％</w:t>
      </w:r>
    </w:p>
    <w:p w14:paraId="75B3A67D">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E.补植完成时间≤3</w:t>
      </w:r>
      <w:r>
        <w:rPr>
          <w:rFonts w:hint="eastAsia" w:ascii="仿宋_GB2312" w:hAnsi="仿宋_GB2312" w:eastAsia="仿宋_GB2312" w:cs="仿宋_GB2312"/>
          <w:color w:val="auto"/>
          <w:kern w:val="2"/>
          <w:sz w:val="20"/>
          <w:szCs w:val="20"/>
          <w:lang w:eastAsia="zh-CN"/>
        </w:rPr>
        <w:t>天</w:t>
      </w:r>
    </w:p>
    <w:p w14:paraId="29D07C1D">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（8）岗位人员要求</w:t>
      </w:r>
    </w:p>
    <w:p w14:paraId="5DFE2387">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A.岗位职责：</w:t>
      </w:r>
    </w:p>
    <w:p w14:paraId="3AA91958">
      <w:pPr>
        <w:keepNext w:val="0"/>
        <w:keepLines w:val="0"/>
        <w:pageBreakBefore w:val="0"/>
        <w:widowControl w:val="0"/>
        <w:kinsoku/>
        <w:wordWrap/>
        <w:overflowPunct/>
        <w:topLinePunct w:val="0"/>
        <w:autoSpaceDE/>
        <w:autoSpaceDN/>
        <w:bidi w:val="0"/>
        <w:adjustRightInd/>
        <w:spacing w:line="360" w:lineRule="auto"/>
        <w:ind w:firstLine="600" w:firstLineChars="300"/>
        <w:jc w:val="both"/>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1）岗位职责：员工需统一着装并佩戴工作牌上岗、绿化完成后的现场清理需配合保洁人员做清理工作、保证双休日、节假日、环境卫生标准不降、自觉遵守采购人制定的有关绿化养护、环境保洁各项规章制度，及时落实采购人安排部署工作，不得以任何理由推诿、敷衍、塞责，更不能抵制采购人管理。</w:t>
      </w:r>
    </w:p>
    <w:p w14:paraId="7B7AA4F4">
      <w:pPr>
        <w:keepNext w:val="0"/>
        <w:keepLines w:val="0"/>
        <w:pageBreakBefore w:val="0"/>
        <w:widowControl w:val="0"/>
        <w:kinsoku/>
        <w:wordWrap/>
        <w:overflowPunct/>
        <w:topLinePunct w:val="0"/>
        <w:autoSpaceDE/>
        <w:autoSpaceDN/>
        <w:bidi w:val="0"/>
        <w:adjustRightInd/>
        <w:spacing w:line="360" w:lineRule="auto"/>
        <w:ind w:firstLine="600" w:firstLineChars="300"/>
        <w:jc w:val="both"/>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 xml:space="preserve">2）岗位人员配置：符合国家及省市相关规定要求。 </w:t>
      </w:r>
    </w:p>
    <w:p w14:paraId="0F2D7471">
      <w:pPr>
        <w:keepNext w:val="0"/>
        <w:keepLines w:val="0"/>
        <w:pageBreakBefore w:val="0"/>
        <w:widowControl w:val="0"/>
        <w:kinsoku/>
        <w:wordWrap/>
        <w:overflowPunct/>
        <w:topLinePunct w:val="0"/>
        <w:autoSpaceDE/>
        <w:autoSpaceDN/>
        <w:bidi w:val="0"/>
        <w:adjustRightInd/>
        <w:spacing w:line="360" w:lineRule="auto"/>
        <w:ind w:firstLine="600" w:firstLineChars="300"/>
        <w:jc w:val="both"/>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3）岗位人员分工：依据采购人的实际需求进行安排。</w:t>
      </w:r>
    </w:p>
    <w:p w14:paraId="1A62DCDA">
      <w:pPr>
        <w:keepNext w:val="0"/>
        <w:keepLines w:val="0"/>
        <w:pageBreakBefore w:val="0"/>
        <w:widowControl w:val="0"/>
        <w:kinsoku/>
        <w:wordWrap/>
        <w:overflowPunct/>
        <w:topLinePunct w:val="0"/>
        <w:autoSpaceDE/>
        <w:autoSpaceDN/>
        <w:bidi w:val="0"/>
        <w:adjustRightInd/>
        <w:spacing w:line="360" w:lineRule="auto"/>
        <w:ind w:firstLine="600" w:firstLineChars="3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4）工作质量标准：根据《国家园林城市标准》、《西安市城市绿化管理条例》和采购人要求执行。</w:t>
      </w:r>
    </w:p>
    <w:p w14:paraId="44CAA5D3">
      <w:pPr>
        <w:keepNext w:val="0"/>
        <w:keepLines w:val="0"/>
        <w:pageBreakBefore w:val="0"/>
        <w:widowControl w:val="0"/>
        <w:kinsoku/>
        <w:wordWrap/>
        <w:overflowPunct/>
        <w:topLinePunct w:val="0"/>
        <w:autoSpaceDE/>
        <w:autoSpaceDN/>
        <w:bidi w:val="0"/>
        <w:adjustRightInd/>
        <w:snapToGrid w:val="0"/>
        <w:spacing w:line="360" w:lineRule="auto"/>
        <w:jc w:val="both"/>
        <w:rPr>
          <w:rFonts w:hint="eastAsia" w:ascii="仿宋_GB2312" w:hAnsi="仿宋_GB2312" w:eastAsia="仿宋_GB2312" w:cs="仿宋_GB2312"/>
          <w:b/>
          <w:bCs/>
          <w:color w:val="FF0000"/>
          <w:kern w:val="0"/>
          <w:sz w:val="20"/>
          <w:szCs w:val="20"/>
          <w:highlight w:val="none"/>
          <w:lang w:val="en-US" w:eastAsia="zh-CN" w:bidi="ar-SA"/>
        </w:rPr>
      </w:pPr>
      <w:r>
        <w:rPr>
          <w:rFonts w:hint="eastAsia" w:ascii="仿宋_GB2312" w:hAnsi="仿宋_GB2312" w:eastAsia="仿宋_GB2312" w:cs="仿宋_GB2312"/>
          <w:b/>
          <w:bCs/>
          <w:color w:val="FF0000"/>
          <w:kern w:val="0"/>
          <w:sz w:val="20"/>
          <w:szCs w:val="20"/>
          <w:highlight w:val="none"/>
          <w:lang w:val="en-US" w:eastAsia="zh-CN" w:bidi="ar-SA"/>
        </w:rPr>
        <w:t>☆采购人有权要求供应商调换不适应岗位或工作质量不达标人员。</w:t>
      </w:r>
    </w:p>
    <w:p w14:paraId="75266D93">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B.园林机具机械的使用：熟悉机械的使用方法，不得使用质量低劣或时有故障的器械，防止器械伤人、操作结束后，应及时清洗机械并</w:t>
      </w:r>
      <w:r>
        <w:rPr>
          <w:rFonts w:hint="eastAsia" w:ascii="仿宋_GB2312" w:hAnsi="仿宋_GB2312" w:eastAsia="仿宋_GB2312" w:cs="仿宋_GB2312"/>
          <w:color w:val="auto"/>
          <w:kern w:val="2"/>
          <w:sz w:val="20"/>
          <w:szCs w:val="20"/>
          <w:lang w:val="en-US" w:eastAsia="zh-CN"/>
        </w:rPr>
        <w:t>进行</w:t>
      </w:r>
      <w:r>
        <w:rPr>
          <w:rFonts w:hint="eastAsia" w:ascii="仿宋_GB2312" w:hAnsi="仿宋_GB2312" w:eastAsia="仿宋_GB2312" w:cs="仿宋_GB2312"/>
          <w:color w:val="auto"/>
          <w:kern w:val="2"/>
          <w:sz w:val="20"/>
          <w:szCs w:val="20"/>
        </w:rPr>
        <w:t>统一保管，不得随意放置，做到机械随人走。</w:t>
      </w:r>
    </w:p>
    <w:p w14:paraId="6F58C233">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highlight w:val="yellow"/>
        </w:rPr>
      </w:pPr>
      <w:r>
        <w:rPr>
          <w:rFonts w:hint="eastAsia" w:ascii="仿宋_GB2312" w:hAnsi="仿宋_GB2312" w:eastAsia="仿宋_GB2312" w:cs="仿宋_GB2312"/>
          <w:color w:val="auto"/>
          <w:kern w:val="2"/>
          <w:sz w:val="20"/>
          <w:szCs w:val="20"/>
        </w:rPr>
        <w:t>C.技能培训：西安革命公园全国重点文物保护单位，供应商需不定期对岗位工作人员进行文化政治教育培训、规范操作技能培训、园区相关业务培训等。</w:t>
      </w:r>
    </w:p>
    <w:p w14:paraId="0679538B">
      <w:pPr>
        <w:keepNext w:val="0"/>
        <w:keepLines w:val="0"/>
        <w:pageBreakBefore w:val="0"/>
        <w:widowControl w:val="0"/>
        <w:kinsoku/>
        <w:wordWrap/>
        <w:overflowPunct/>
        <w:topLinePunct w:val="0"/>
        <w:autoSpaceDE/>
        <w:autoSpaceDN/>
        <w:bidi w:val="0"/>
        <w:adjustRightInd/>
        <w:snapToGrid w:val="0"/>
        <w:spacing w:line="360" w:lineRule="auto"/>
        <w:ind w:left="735" w:leftChars="0"/>
        <w:jc w:val="both"/>
        <w:rPr>
          <w:rFonts w:hint="eastAsia" w:ascii="仿宋_GB2312" w:hAnsi="仿宋_GB2312" w:eastAsia="仿宋_GB2312" w:cs="仿宋_GB2312"/>
          <w:b/>
          <w:bCs/>
          <w:color w:val="auto"/>
          <w:kern w:val="0"/>
          <w:sz w:val="20"/>
          <w:szCs w:val="20"/>
          <w:lang w:val="zh-CN" w:eastAsia="zh-CN" w:bidi="ar-SA"/>
        </w:rPr>
      </w:pPr>
      <w:r>
        <w:rPr>
          <w:rFonts w:hint="eastAsia" w:ascii="仿宋_GB2312" w:hAnsi="仿宋_GB2312" w:eastAsia="仿宋_GB2312" w:cs="仿宋_GB2312"/>
          <w:b/>
          <w:bCs/>
          <w:color w:val="auto"/>
          <w:kern w:val="0"/>
          <w:sz w:val="20"/>
          <w:szCs w:val="20"/>
          <w:lang w:val="en-US" w:eastAsia="zh-CN" w:bidi="ar-SA"/>
        </w:rPr>
        <w:t>2、</w:t>
      </w:r>
      <w:r>
        <w:rPr>
          <w:rFonts w:hint="eastAsia" w:ascii="仿宋_GB2312" w:hAnsi="仿宋_GB2312" w:eastAsia="仿宋_GB2312" w:cs="仿宋_GB2312"/>
          <w:b/>
          <w:bCs/>
          <w:color w:val="auto"/>
          <w:kern w:val="0"/>
          <w:sz w:val="20"/>
          <w:szCs w:val="20"/>
          <w:lang w:val="zh-CN" w:eastAsia="zh-CN" w:bidi="ar-SA"/>
        </w:rPr>
        <w:t>花卉摆放</w:t>
      </w:r>
    </w:p>
    <w:p w14:paraId="6BC185C9">
      <w:pPr>
        <w:keepNext w:val="0"/>
        <w:keepLines w:val="0"/>
        <w:pageBreakBefore w:val="0"/>
        <w:widowControl w:val="0"/>
        <w:kinsoku/>
        <w:wordWrap/>
        <w:overflowPunct/>
        <w:topLinePunct w:val="0"/>
        <w:autoSpaceDE/>
        <w:autoSpaceDN/>
        <w:bidi w:val="0"/>
        <w:adjustRightInd/>
        <w:snapToGrid w:val="0"/>
        <w:spacing w:line="360" w:lineRule="auto"/>
        <w:ind w:left="420" w:leftChars="20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全年需在主要出入口，道路节点长期保持花坛、花</w:t>
      </w:r>
      <w:r>
        <w:rPr>
          <w:rFonts w:hint="eastAsia" w:ascii="仿宋_GB2312" w:hAnsi="仿宋_GB2312" w:eastAsia="仿宋_GB2312" w:cs="仿宋_GB2312"/>
          <w:color w:val="auto"/>
          <w:kern w:val="0"/>
          <w:sz w:val="20"/>
          <w:szCs w:val="20"/>
          <w:lang w:val="en-US" w:eastAsia="zh-CN" w:bidi="ar-SA"/>
        </w:rPr>
        <w:t>境</w:t>
      </w:r>
      <w:r>
        <w:rPr>
          <w:rFonts w:hint="eastAsia" w:ascii="仿宋_GB2312" w:hAnsi="仿宋_GB2312" w:eastAsia="仿宋_GB2312" w:cs="仿宋_GB2312"/>
          <w:color w:val="auto"/>
          <w:kern w:val="0"/>
          <w:sz w:val="20"/>
          <w:szCs w:val="20"/>
          <w:lang w:val="zh-CN" w:eastAsia="zh-CN" w:bidi="ar-SA"/>
        </w:rPr>
        <w:t>、绿雕，重要节日、</w:t>
      </w:r>
      <w:r>
        <w:rPr>
          <w:rFonts w:hint="eastAsia" w:ascii="仿宋_GB2312" w:hAnsi="仿宋_GB2312" w:eastAsia="仿宋_GB2312" w:cs="仿宋_GB2312"/>
          <w:color w:val="auto"/>
          <w:kern w:val="0"/>
          <w:sz w:val="20"/>
          <w:szCs w:val="20"/>
          <w:lang w:val="en-US" w:eastAsia="zh-CN" w:bidi="ar-SA"/>
        </w:rPr>
        <w:t>重大活动</w:t>
      </w:r>
      <w:r>
        <w:rPr>
          <w:rFonts w:hint="eastAsia" w:ascii="仿宋_GB2312" w:hAnsi="仿宋_GB2312" w:eastAsia="仿宋_GB2312" w:cs="仿宋_GB2312"/>
          <w:color w:val="auto"/>
          <w:kern w:val="0"/>
          <w:sz w:val="20"/>
          <w:szCs w:val="20"/>
          <w:lang w:val="zh-CN" w:eastAsia="zh-CN" w:bidi="ar-SA"/>
        </w:rPr>
        <w:t>或上级另有要求的酌情增加。</w:t>
      </w:r>
    </w:p>
    <w:p w14:paraId="0243D1C0">
      <w:pPr>
        <w:keepNext w:val="0"/>
        <w:keepLines w:val="0"/>
        <w:pageBreakBefore w:val="0"/>
        <w:widowControl w:val="0"/>
        <w:kinsoku/>
        <w:wordWrap/>
        <w:overflowPunct/>
        <w:topLinePunct w:val="0"/>
        <w:autoSpaceDE/>
        <w:autoSpaceDN/>
        <w:bidi w:val="0"/>
        <w:adjustRightInd/>
        <w:snapToGrid w:val="0"/>
        <w:spacing w:line="360" w:lineRule="auto"/>
        <w:ind w:left="735" w:leftChars="0"/>
        <w:jc w:val="both"/>
        <w:rPr>
          <w:rFonts w:hint="eastAsia" w:ascii="仿宋_GB2312" w:hAnsi="仿宋_GB2312" w:eastAsia="仿宋_GB2312" w:cs="仿宋_GB2312"/>
          <w:b/>
          <w:bCs/>
          <w:color w:val="auto"/>
          <w:kern w:val="0"/>
          <w:sz w:val="20"/>
          <w:szCs w:val="20"/>
          <w:lang w:val="en-US" w:eastAsia="zh-CN" w:bidi="ar-SA"/>
        </w:rPr>
      </w:pPr>
      <w:r>
        <w:rPr>
          <w:rFonts w:hint="eastAsia" w:ascii="仿宋_GB2312" w:hAnsi="仿宋_GB2312" w:eastAsia="仿宋_GB2312" w:cs="仿宋_GB2312"/>
          <w:b/>
          <w:bCs/>
          <w:color w:val="auto"/>
          <w:kern w:val="0"/>
          <w:sz w:val="20"/>
          <w:szCs w:val="20"/>
          <w:lang w:val="en-US" w:eastAsia="zh-CN" w:bidi="ar-SA"/>
        </w:rPr>
        <w:t>3、病媒生物防治</w:t>
      </w:r>
    </w:p>
    <w:p w14:paraId="1D15699E">
      <w:pPr>
        <w:keepNext w:val="0"/>
        <w:keepLines w:val="0"/>
        <w:pageBreakBefore w:val="0"/>
        <w:widowControl w:val="0"/>
        <w:kinsoku/>
        <w:wordWrap/>
        <w:overflowPunct/>
        <w:topLinePunct w:val="0"/>
        <w:autoSpaceDE/>
        <w:autoSpaceDN/>
        <w:bidi w:val="0"/>
        <w:adjustRightInd/>
        <w:snapToGrid w:val="0"/>
        <w:spacing w:line="360" w:lineRule="auto"/>
        <w:ind w:left="420" w:leftChars="200" w:firstLine="400" w:firstLineChars="200"/>
        <w:jc w:val="both"/>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zh-CN" w:eastAsia="zh-CN" w:bidi="ar-SA"/>
        </w:rPr>
        <w:t>（</w:t>
      </w:r>
      <w:r>
        <w:rPr>
          <w:rFonts w:hint="eastAsia" w:ascii="仿宋_GB2312" w:hAnsi="仿宋_GB2312" w:eastAsia="仿宋_GB2312" w:cs="仿宋_GB2312"/>
          <w:color w:val="auto"/>
          <w:kern w:val="0"/>
          <w:sz w:val="20"/>
          <w:szCs w:val="20"/>
          <w:lang w:val="en-US" w:eastAsia="zh-CN" w:bidi="ar-SA"/>
        </w:rPr>
        <w:t>1</w:t>
      </w:r>
      <w:r>
        <w:rPr>
          <w:rFonts w:hint="eastAsia" w:ascii="仿宋_GB2312" w:hAnsi="仿宋_GB2312" w:eastAsia="仿宋_GB2312" w:cs="仿宋_GB2312"/>
          <w:color w:val="auto"/>
          <w:kern w:val="0"/>
          <w:sz w:val="20"/>
          <w:szCs w:val="20"/>
          <w:lang w:val="zh-CN" w:eastAsia="zh-CN" w:bidi="ar-SA"/>
        </w:rPr>
        <w:t>）</w:t>
      </w:r>
      <w:r>
        <w:rPr>
          <w:rFonts w:hint="eastAsia" w:ascii="仿宋_GB2312" w:hAnsi="仿宋_GB2312" w:eastAsia="仿宋_GB2312" w:cs="仿宋_GB2312"/>
          <w:color w:val="auto"/>
          <w:kern w:val="0"/>
          <w:sz w:val="20"/>
          <w:szCs w:val="20"/>
          <w:highlight w:val="none"/>
          <w:lang w:val="zh-CN" w:eastAsia="zh-CN" w:bidi="ar-SA"/>
        </w:rPr>
        <w:t>按照《西安市人民政府关于进一步加强新时期爱国卫生工作的实施意见》（市政发〔2016〕24号）文件精神和《国家卫生城市标准》（2014版）要求；</w:t>
      </w:r>
      <w:r>
        <w:rPr>
          <w:rFonts w:hint="eastAsia" w:ascii="仿宋_GB2312" w:hAnsi="仿宋_GB2312" w:eastAsia="仿宋_GB2312" w:cs="仿宋_GB2312"/>
          <w:color w:val="auto"/>
          <w:kern w:val="0"/>
          <w:sz w:val="20"/>
          <w:szCs w:val="20"/>
          <w:highlight w:val="none"/>
          <w:lang w:val="en-US" w:eastAsia="zh-CN" w:bidi="ar-SA"/>
        </w:rPr>
        <w:t>具有专业的病媒生物防制服务队伍；有专职除四害专家全程指导公司人员进行除四害工作；具有配合采购人完善防护设施和除四害资料整理的能力；配合采购人开展病媒生物预防控制宣传教育；配合采购人开展病媒生物预防控制的监测和消杀活动；积极主动配合采购人的检查、汇报和考核工作；在每次消杀前做好宣传工作</w:t>
      </w:r>
      <w:r>
        <w:rPr>
          <w:rFonts w:hint="eastAsia" w:ascii="仿宋_GB2312" w:hAnsi="仿宋_GB2312" w:eastAsia="仿宋_GB2312" w:cs="仿宋_GB2312"/>
          <w:color w:val="auto"/>
          <w:kern w:val="0"/>
          <w:sz w:val="20"/>
          <w:szCs w:val="20"/>
          <w:lang w:val="en-US" w:eastAsia="zh-CN" w:bidi="ar-SA"/>
        </w:rPr>
        <w:t>，确保消杀工作安全正常进行，不留任何后患；积极主动完成甲方安排的相关事宜。</w:t>
      </w:r>
    </w:p>
    <w:p w14:paraId="37FEB1CA">
      <w:pPr>
        <w:keepNext w:val="0"/>
        <w:keepLines w:val="0"/>
        <w:pageBreakBefore w:val="0"/>
        <w:widowControl w:val="0"/>
        <w:kinsoku/>
        <w:wordWrap/>
        <w:overflowPunct/>
        <w:topLinePunct w:val="0"/>
        <w:autoSpaceDE/>
        <w:autoSpaceDN/>
        <w:bidi w:val="0"/>
        <w:adjustRightInd/>
        <w:snapToGrid w:val="0"/>
        <w:spacing w:line="360" w:lineRule="auto"/>
        <w:ind w:left="420" w:leftChars="200" w:firstLine="400" w:firstLineChars="200"/>
        <w:jc w:val="both"/>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（2）病媒生物防治与消杀技术要求</w:t>
      </w:r>
    </w:p>
    <w:tbl>
      <w:tblPr>
        <w:tblStyle w:val="4"/>
        <w:tblW w:w="92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17"/>
        <w:gridCol w:w="1274"/>
        <w:gridCol w:w="1681"/>
        <w:gridCol w:w="2365"/>
        <w:gridCol w:w="3121"/>
      </w:tblGrid>
      <w:tr w14:paraId="76C49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exact"/>
          <w:jc w:val="center"/>
        </w:trPr>
        <w:tc>
          <w:tcPr>
            <w:tcW w:w="817" w:type="dxa"/>
            <w:noWrap/>
            <w:vAlign w:val="center"/>
          </w:tcPr>
          <w:p w14:paraId="2A090676">
            <w:pPr>
              <w:keepNext w:val="0"/>
              <w:keepLines w:val="0"/>
              <w:pageBreakBefore w:val="0"/>
              <w:widowControl w:val="0"/>
              <w:kinsoku/>
              <w:wordWrap/>
              <w:overflowPunct/>
              <w:topLinePunct w:val="0"/>
              <w:autoSpaceDE/>
              <w:autoSpaceDN/>
              <w:bidi w:val="0"/>
              <w:adjustRightInd/>
              <w:spacing w:line="360" w:lineRule="auto"/>
              <w:ind w:left="103" w:right="96"/>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序号</w:t>
            </w:r>
          </w:p>
        </w:tc>
        <w:tc>
          <w:tcPr>
            <w:tcW w:w="1274" w:type="dxa"/>
            <w:noWrap/>
            <w:vAlign w:val="center"/>
          </w:tcPr>
          <w:p w14:paraId="5210E920">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标靶害虫</w:t>
            </w:r>
          </w:p>
        </w:tc>
        <w:tc>
          <w:tcPr>
            <w:tcW w:w="1681" w:type="dxa"/>
            <w:noWrap/>
            <w:vAlign w:val="center"/>
          </w:tcPr>
          <w:p w14:paraId="2DCDDC9A">
            <w:pPr>
              <w:keepNext w:val="0"/>
              <w:keepLines w:val="0"/>
              <w:pageBreakBefore w:val="0"/>
              <w:widowControl w:val="0"/>
              <w:kinsoku/>
              <w:wordWrap/>
              <w:overflowPunct/>
              <w:topLinePunct w:val="0"/>
              <w:autoSpaceDE/>
              <w:autoSpaceDN/>
              <w:bidi w:val="0"/>
              <w:adjustRightInd/>
              <w:spacing w:line="360" w:lineRule="auto"/>
              <w:ind w:left="150" w:right="143"/>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产品名称</w:t>
            </w:r>
          </w:p>
        </w:tc>
        <w:tc>
          <w:tcPr>
            <w:tcW w:w="2365" w:type="dxa"/>
            <w:noWrap/>
            <w:vAlign w:val="center"/>
          </w:tcPr>
          <w:p w14:paraId="7E970F52">
            <w:pPr>
              <w:keepNext w:val="0"/>
              <w:keepLines w:val="0"/>
              <w:pageBreakBefore w:val="0"/>
              <w:widowControl w:val="0"/>
              <w:kinsoku/>
              <w:wordWrap/>
              <w:overflowPunct/>
              <w:topLinePunct w:val="0"/>
              <w:autoSpaceDE/>
              <w:autoSpaceDN/>
              <w:bidi w:val="0"/>
              <w:adjustRightInd/>
              <w:spacing w:line="360" w:lineRule="auto"/>
              <w:ind w:left="93" w:right="86"/>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规格型号</w:t>
            </w:r>
          </w:p>
        </w:tc>
        <w:tc>
          <w:tcPr>
            <w:tcW w:w="3121" w:type="dxa"/>
            <w:noWrap/>
            <w:vAlign w:val="center"/>
          </w:tcPr>
          <w:p w14:paraId="42ECA25F">
            <w:pPr>
              <w:keepNext w:val="0"/>
              <w:keepLines w:val="0"/>
              <w:pageBreakBefore w:val="0"/>
              <w:widowControl w:val="0"/>
              <w:kinsoku/>
              <w:wordWrap/>
              <w:overflowPunct/>
              <w:topLinePunct w:val="0"/>
              <w:autoSpaceDE/>
              <w:autoSpaceDN/>
              <w:bidi w:val="0"/>
              <w:adjustRightInd/>
              <w:spacing w:line="360" w:lineRule="auto"/>
              <w:ind w:left="98" w:right="88"/>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主要成分</w:t>
            </w:r>
          </w:p>
        </w:tc>
      </w:tr>
      <w:tr w14:paraId="64C6D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0" w:hRule="exact"/>
          <w:jc w:val="center"/>
        </w:trPr>
        <w:tc>
          <w:tcPr>
            <w:tcW w:w="817" w:type="dxa"/>
            <w:noWrap/>
            <w:vAlign w:val="center"/>
          </w:tcPr>
          <w:p w14:paraId="7C69942B">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1</w:t>
            </w:r>
          </w:p>
        </w:tc>
        <w:tc>
          <w:tcPr>
            <w:tcW w:w="1274" w:type="dxa"/>
            <w:vMerge w:val="restart"/>
            <w:noWrap/>
            <w:vAlign w:val="center"/>
          </w:tcPr>
          <w:p w14:paraId="34DE2908">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蟑螂</w:t>
            </w:r>
          </w:p>
        </w:tc>
        <w:tc>
          <w:tcPr>
            <w:tcW w:w="1681" w:type="dxa"/>
            <w:noWrap/>
            <w:vAlign w:val="center"/>
          </w:tcPr>
          <w:p w14:paraId="3ADA7C0A">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方便贴</w:t>
            </w:r>
          </w:p>
        </w:tc>
        <w:tc>
          <w:tcPr>
            <w:tcW w:w="2365" w:type="dxa"/>
            <w:noWrap/>
            <w:vAlign w:val="center"/>
          </w:tcPr>
          <w:p w14:paraId="6552749F">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200 板/箱</w:t>
            </w:r>
          </w:p>
        </w:tc>
        <w:tc>
          <w:tcPr>
            <w:tcW w:w="3121" w:type="dxa"/>
            <w:noWrap/>
            <w:vAlign w:val="center"/>
          </w:tcPr>
          <w:p w14:paraId="2DC1F139">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0.05%氟虫腈</w:t>
            </w:r>
          </w:p>
        </w:tc>
      </w:tr>
      <w:tr w14:paraId="4A12C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89" w:hRule="exact"/>
          <w:jc w:val="center"/>
        </w:trPr>
        <w:tc>
          <w:tcPr>
            <w:tcW w:w="817" w:type="dxa"/>
            <w:noWrap/>
            <w:vAlign w:val="center"/>
          </w:tcPr>
          <w:p w14:paraId="5446032A">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2</w:t>
            </w:r>
          </w:p>
        </w:tc>
        <w:tc>
          <w:tcPr>
            <w:tcW w:w="1274" w:type="dxa"/>
            <w:vMerge w:val="continue"/>
            <w:noWrap/>
            <w:vAlign w:val="center"/>
          </w:tcPr>
          <w:p w14:paraId="38834EBD">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color w:val="auto"/>
                <w:kern w:val="2"/>
                <w:sz w:val="20"/>
                <w:szCs w:val="20"/>
              </w:rPr>
            </w:pPr>
          </w:p>
        </w:tc>
        <w:tc>
          <w:tcPr>
            <w:tcW w:w="1681" w:type="dxa"/>
            <w:noWrap/>
            <w:vAlign w:val="center"/>
          </w:tcPr>
          <w:p w14:paraId="0F5686D5">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胶饵</w:t>
            </w:r>
          </w:p>
        </w:tc>
        <w:tc>
          <w:tcPr>
            <w:tcW w:w="2365" w:type="dxa"/>
            <w:noWrap/>
            <w:vAlign w:val="center"/>
          </w:tcPr>
          <w:p w14:paraId="7476D68B">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10克*100 支/箱</w:t>
            </w:r>
          </w:p>
        </w:tc>
        <w:tc>
          <w:tcPr>
            <w:tcW w:w="3121" w:type="dxa"/>
            <w:noWrap/>
            <w:vAlign w:val="center"/>
          </w:tcPr>
          <w:p w14:paraId="2BEF8191">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含量：≥2%</w:t>
            </w:r>
          </w:p>
          <w:p w14:paraId="1E3987F4">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成分：吡虫啉</w:t>
            </w:r>
          </w:p>
          <w:p w14:paraId="437C843C">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p>
        </w:tc>
      </w:tr>
      <w:tr w14:paraId="3B79E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2" w:hRule="exact"/>
          <w:jc w:val="center"/>
        </w:trPr>
        <w:tc>
          <w:tcPr>
            <w:tcW w:w="817" w:type="dxa"/>
            <w:noWrap/>
            <w:vAlign w:val="center"/>
          </w:tcPr>
          <w:p w14:paraId="05C4FE83">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3</w:t>
            </w:r>
          </w:p>
        </w:tc>
        <w:tc>
          <w:tcPr>
            <w:tcW w:w="1274" w:type="dxa"/>
            <w:vMerge w:val="continue"/>
            <w:noWrap/>
            <w:vAlign w:val="center"/>
          </w:tcPr>
          <w:p w14:paraId="55102B6E">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color w:val="auto"/>
                <w:kern w:val="2"/>
                <w:sz w:val="20"/>
                <w:szCs w:val="20"/>
              </w:rPr>
            </w:pPr>
          </w:p>
        </w:tc>
        <w:tc>
          <w:tcPr>
            <w:tcW w:w="1681" w:type="dxa"/>
            <w:noWrap/>
            <w:vAlign w:val="center"/>
          </w:tcPr>
          <w:p w14:paraId="15108015">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颗粒剂</w:t>
            </w:r>
          </w:p>
        </w:tc>
        <w:tc>
          <w:tcPr>
            <w:tcW w:w="2365" w:type="dxa"/>
            <w:noWrap/>
            <w:vAlign w:val="center"/>
          </w:tcPr>
          <w:p w14:paraId="262567F6">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5克*1000 袋/箱</w:t>
            </w:r>
          </w:p>
        </w:tc>
        <w:tc>
          <w:tcPr>
            <w:tcW w:w="3121" w:type="dxa"/>
            <w:noWrap/>
            <w:vAlign w:val="center"/>
          </w:tcPr>
          <w:p w14:paraId="3EAC514C">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含量：≥0.05%</w:t>
            </w:r>
          </w:p>
          <w:p w14:paraId="016AA642">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成分：氟虫腈</w:t>
            </w:r>
          </w:p>
          <w:p w14:paraId="16DF7B74">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p>
        </w:tc>
      </w:tr>
      <w:tr w14:paraId="7955C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5" w:hRule="exact"/>
          <w:jc w:val="center"/>
        </w:trPr>
        <w:tc>
          <w:tcPr>
            <w:tcW w:w="817" w:type="dxa"/>
            <w:noWrap/>
            <w:vAlign w:val="center"/>
          </w:tcPr>
          <w:p w14:paraId="78497D19">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4</w:t>
            </w:r>
          </w:p>
        </w:tc>
        <w:tc>
          <w:tcPr>
            <w:tcW w:w="1274" w:type="dxa"/>
            <w:vMerge w:val="continue"/>
            <w:noWrap/>
            <w:vAlign w:val="center"/>
          </w:tcPr>
          <w:p w14:paraId="6DF84892">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color w:val="auto"/>
                <w:kern w:val="2"/>
                <w:sz w:val="20"/>
                <w:szCs w:val="20"/>
              </w:rPr>
            </w:pPr>
          </w:p>
        </w:tc>
        <w:tc>
          <w:tcPr>
            <w:tcW w:w="1681" w:type="dxa"/>
            <w:noWrap/>
            <w:vAlign w:val="center"/>
          </w:tcPr>
          <w:p w14:paraId="78968F83">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粘蟑板</w:t>
            </w:r>
          </w:p>
        </w:tc>
        <w:tc>
          <w:tcPr>
            <w:tcW w:w="2365" w:type="dxa"/>
            <w:noWrap/>
            <w:vAlign w:val="center"/>
          </w:tcPr>
          <w:p w14:paraId="59BB7A56">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1000 张/箱</w:t>
            </w:r>
          </w:p>
        </w:tc>
        <w:tc>
          <w:tcPr>
            <w:tcW w:w="3121" w:type="dxa"/>
            <w:noWrap/>
            <w:vAlign w:val="center"/>
          </w:tcPr>
          <w:p w14:paraId="11109586">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w:t>
            </w:r>
          </w:p>
        </w:tc>
      </w:tr>
      <w:tr w14:paraId="26CB2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5" w:hRule="exact"/>
          <w:jc w:val="center"/>
        </w:trPr>
        <w:tc>
          <w:tcPr>
            <w:tcW w:w="817" w:type="dxa"/>
            <w:noWrap/>
            <w:vAlign w:val="center"/>
          </w:tcPr>
          <w:p w14:paraId="268DFE28">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5</w:t>
            </w:r>
          </w:p>
        </w:tc>
        <w:tc>
          <w:tcPr>
            <w:tcW w:w="1274" w:type="dxa"/>
            <w:vMerge w:val="restart"/>
            <w:noWrap/>
            <w:vAlign w:val="center"/>
          </w:tcPr>
          <w:p w14:paraId="1516C1F5">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老鼠</w:t>
            </w:r>
          </w:p>
        </w:tc>
        <w:tc>
          <w:tcPr>
            <w:tcW w:w="1681" w:type="dxa"/>
            <w:noWrap/>
            <w:vAlign w:val="center"/>
          </w:tcPr>
          <w:p w14:paraId="64C8DE64">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毒饵</w:t>
            </w:r>
          </w:p>
        </w:tc>
        <w:tc>
          <w:tcPr>
            <w:tcW w:w="2365" w:type="dxa"/>
            <w:noWrap/>
            <w:vAlign w:val="center"/>
          </w:tcPr>
          <w:p w14:paraId="5191C103">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25kg/袋</w:t>
            </w:r>
          </w:p>
        </w:tc>
        <w:tc>
          <w:tcPr>
            <w:tcW w:w="3121" w:type="dxa"/>
            <w:noWrap/>
            <w:vAlign w:val="center"/>
          </w:tcPr>
          <w:p w14:paraId="1C9AD3F5">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0.005%溴敌隆毒饵</w:t>
            </w:r>
          </w:p>
        </w:tc>
      </w:tr>
      <w:tr w14:paraId="4CE62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exact"/>
          <w:jc w:val="center"/>
        </w:trPr>
        <w:tc>
          <w:tcPr>
            <w:tcW w:w="817" w:type="dxa"/>
            <w:noWrap/>
            <w:vAlign w:val="center"/>
          </w:tcPr>
          <w:p w14:paraId="376969AF">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6</w:t>
            </w:r>
          </w:p>
        </w:tc>
        <w:tc>
          <w:tcPr>
            <w:tcW w:w="1274" w:type="dxa"/>
            <w:vMerge w:val="continue"/>
            <w:noWrap/>
            <w:vAlign w:val="center"/>
          </w:tcPr>
          <w:p w14:paraId="6594C74B">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color w:val="auto"/>
                <w:kern w:val="2"/>
                <w:sz w:val="20"/>
                <w:szCs w:val="20"/>
              </w:rPr>
            </w:pPr>
          </w:p>
        </w:tc>
        <w:tc>
          <w:tcPr>
            <w:tcW w:w="1681" w:type="dxa"/>
            <w:noWrap/>
            <w:vAlign w:val="center"/>
          </w:tcPr>
          <w:p w14:paraId="532A1FD8">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粘鼠板</w:t>
            </w:r>
          </w:p>
        </w:tc>
        <w:tc>
          <w:tcPr>
            <w:tcW w:w="2365" w:type="dxa"/>
            <w:noWrap/>
            <w:vAlign w:val="center"/>
          </w:tcPr>
          <w:p w14:paraId="029CFFE4">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50张/件</w:t>
            </w:r>
          </w:p>
        </w:tc>
        <w:tc>
          <w:tcPr>
            <w:tcW w:w="3121" w:type="dxa"/>
            <w:noWrap/>
            <w:vAlign w:val="center"/>
          </w:tcPr>
          <w:p w14:paraId="47E95872">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含胶量 40g</w:t>
            </w:r>
          </w:p>
        </w:tc>
      </w:tr>
      <w:tr w14:paraId="5799D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79" w:hRule="exact"/>
          <w:jc w:val="center"/>
        </w:trPr>
        <w:tc>
          <w:tcPr>
            <w:tcW w:w="817" w:type="dxa"/>
            <w:noWrap/>
            <w:vAlign w:val="center"/>
          </w:tcPr>
          <w:p w14:paraId="0B88A61C">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7</w:t>
            </w:r>
          </w:p>
        </w:tc>
        <w:tc>
          <w:tcPr>
            <w:tcW w:w="1274" w:type="dxa"/>
            <w:vMerge w:val="restart"/>
            <w:noWrap/>
            <w:vAlign w:val="center"/>
          </w:tcPr>
          <w:p w14:paraId="596DC12F">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蚊蝇</w:t>
            </w:r>
          </w:p>
        </w:tc>
        <w:tc>
          <w:tcPr>
            <w:tcW w:w="1681" w:type="dxa"/>
            <w:noWrap/>
            <w:vAlign w:val="center"/>
          </w:tcPr>
          <w:p w14:paraId="2FD6332F">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可湿性粉剂</w:t>
            </w:r>
          </w:p>
        </w:tc>
        <w:tc>
          <w:tcPr>
            <w:tcW w:w="2365" w:type="dxa"/>
            <w:noWrap/>
            <w:vAlign w:val="center"/>
          </w:tcPr>
          <w:p w14:paraId="56947EAF">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50克*100袋/箱</w:t>
            </w:r>
          </w:p>
        </w:tc>
        <w:tc>
          <w:tcPr>
            <w:tcW w:w="3121" w:type="dxa"/>
            <w:noWrap/>
            <w:vAlign w:val="center"/>
          </w:tcPr>
          <w:p w14:paraId="58A0C11F">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lang w:bidi="zh-CN"/>
              </w:rPr>
              <w:t>含量：≥ 10%</w:t>
            </w:r>
          </w:p>
          <w:p w14:paraId="4F63D8E8">
            <w:pPr>
              <w:keepNext w:val="0"/>
              <w:keepLines w:val="0"/>
              <w:pageBreakBefore w:val="0"/>
              <w:widowControl w:val="0"/>
              <w:kinsoku/>
              <w:wordWrap/>
              <w:overflowPunct/>
              <w:topLinePunct w:val="0"/>
              <w:autoSpaceDE/>
              <w:autoSpaceDN/>
              <w:bidi w:val="0"/>
              <w:adjustRightInd/>
              <w:spacing w:line="360" w:lineRule="auto"/>
              <w:ind w:left="420" w:hanging="400" w:hangingChars="200"/>
              <w:jc w:val="center"/>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lang w:bidi="zh-CN"/>
              </w:rPr>
              <w:t>成分：高效氯氟氰菊酯</w:t>
            </w:r>
          </w:p>
          <w:p w14:paraId="26755F5B">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剂型：可湿性粉剂</w:t>
            </w:r>
          </w:p>
        </w:tc>
      </w:tr>
      <w:tr w14:paraId="601B4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6" w:hRule="exact"/>
          <w:jc w:val="center"/>
        </w:trPr>
        <w:tc>
          <w:tcPr>
            <w:tcW w:w="817" w:type="dxa"/>
            <w:noWrap/>
            <w:vAlign w:val="center"/>
          </w:tcPr>
          <w:p w14:paraId="746BB9D8">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8</w:t>
            </w:r>
          </w:p>
        </w:tc>
        <w:tc>
          <w:tcPr>
            <w:tcW w:w="1274" w:type="dxa"/>
            <w:vMerge w:val="continue"/>
            <w:noWrap/>
            <w:vAlign w:val="center"/>
          </w:tcPr>
          <w:p w14:paraId="47E21568">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color w:val="auto"/>
                <w:kern w:val="2"/>
                <w:sz w:val="20"/>
                <w:szCs w:val="20"/>
              </w:rPr>
            </w:pPr>
          </w:p>
        </w:tc>
        <w:tc>
          <w:tcPr>
            <w:tcW w:w="1681" w:type="dxa"/>
            <w:noWrap/>
            <w:vAlign w:val="center"/>
          </w:tcPr>
          <w:p w14:paraId="0E783683">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微胶囊悬浮剂</w:t>
            </w:r>
          </w:p>
        </w:tc>
        <w:tc>
          <w:tcPr>
            <w:tcW w:w="2365" w:type="dxa"/>
            <w:noWrap/>
            <w:vAlign w:val="center"/>
          </w:tcPr>
          <w:p w14:paraId="76B81A0E">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500ml*20瓶/箱</w:t>
            </w:r>
          </w:p>
        </w:tc>
        <w:tc>
          <w:tcPr>
            <w:tcW w:w="3121" w:type="dxa"/>
            <w:noWrap/>
            <w:vAlign w:val="center"/>
          </w:tcPr>
          <w:p w14:paraId="65A870E2">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含量：≥2.5%</w:t>
            </w:r>
          </w:p>
          <w:p w14:paraId="6E5DC942">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成分：高效氯氟氰菊酯</w:t>
            </w:r>
          </w:p>
        </w:tc>
      </w:tr>
      <w:tr w14:paraId="53390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1" w:hRule="exact"/>
          <w:jc w:val="center"/>
        </w:trPr>
        <w:tc>
          <w:tcPr>
            <w:tcW w:w="817" w:type="dxa"/>
            <w:noWrap/>
            <w:vAlign w:val="center"/>
          </w:tcPr>
          <w:p w14:paraId="11CC1BBC">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9</w:t>
            </w:r>
          </w:p>
        </w:tc>
        <w:tc>
          <w:tcPr>
            <w:tcW w:w="1274" w:type="dxa"/>
            <w:vMerge w:val="continue"/>
            <w:noWrap/>
            <w:vAlign w:val="center"/>
          </w:tcPr>
          <w:p w14:paraId="0CBDA79C">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color w:val="auto"/>
                <w:kern w:val="2"/>
                <w:sz w:val="20"/>
                <w:szCs w:val="20"/>
              </w:rPr>
            </w:pPr>
          </w:p>
        </w:tc>
        <w:tc>
          <w:tcPr>
            <w:tcW w:w="1681" w:type="dxa"/>
            <w:noWrap/>
            <w:vAlign w:val="center"/>
          </w:tcPr>
          <w:p w14:paraId="01FFAFB8">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乳油</w:t>
            </w:r>
          </w:p>
        </w:tc>
        <w:tc>
          <w:tcPr>
            <w:tcW w:w="2365" w:type="dxa"/>
            <w:noWrap/>
            <w:vAlign w:val="center"/>
          </w:tcPr>
          <w:p w14:paraId="06437BC9">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1升*10瓶/箱</w:t>
            </w:r>
          </w:p>
        </w:tc>
        <w:tc>
          <w:tcPr>
            <w:tcW w:w="3121" w:type="dxa"/>
            <w:noWrap/>
            <w:vAlign w:val="center"/>
          </w:tcPr>
          <w:p w14:paraId="753DF5F1">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2"/>
                <w:sz w:val="20"/>
                <w:szCs w:val="20"/>
              </w:rPr>
              <w:t>含量：≥ 3.5%</w:t>
            </w:r>
          </w:p>
          <w:p w14:paraId="274CA54A">
            <w:pPr>
              <w:keepNext w:val="0"/>
              <w:keepLines w:val="0"/>
              <w:pageBreakBefore w:val="0"/>
              <w:widowControl w:val="0"/>
              <w:kinsoku/>
              <w:wordWrap/>
              <w:overflowPunct/>
              <w:topLinePunct w:val="0"/>
              <w:autoSpaceDE/>
              <w:autoSpaceDN/>
              <w:bidi w:val="0"/>
              <w:adjustRightInd/>
              <w:spacing w:line="360" w:lineRule="auto"/>
              <w:ind w:left="420" w:hanging="400" w:hangingChars="200"/>
              <w:jc w:val="center"/>
              <w:rPr>
                <w:rFonts w:hint="eastAsia" w:ascii="仿宋_GB2312" w:hAnsi="仿宋_GB2312" w:eastAsia="仿宋_GB2312" w:cs="仿宋_GB2312"/>
                <w:bCs/>
                <w:color w:val="auto"/>
                <w:kern w:val="2"/>
                <w:sz w:val="20"/>
                <w:szCs w:val="20"/>
              </w:rPr>
            </w:pPr>
            <w:r>
              <w:rPr>
                <w:rFonts w:hint="eastAsia" w:ascii="仿宋_GB2312" w:hAnsi="仿宋_GB2312" w:eastAsia="仿宋_GB2312" w:cs="仿宋_GB2312"/>
                <w:color w:val="auto"/>
                <w:kern w:val="2"/>
                <w:sz w:val="20"/>
                <w:szCs w:val="20"/>
              </w:rPr>
              <w:t>成分：氯菊酯和四氟醚菊酯复配</w:t>
            </w:r>
          </w:p>
        </w:tc>
      </w:tr>
      <w:tr w14:paraId="62A16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4" w:hRule="exact"/>
          <w:jc w:val="center"/>
        </w:trPr>
        <w:tc>
          <w:tcPr>
            <w:tcW w:w="817" w:type="dxa"/>
            <w:noWrap/>
            <w:vAlign w:val="center"/>
          </w:tcPr>
          <w:p w14:paraId="127503BB">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10</w:t>
            </w:r>
          </w:p>
        </w:tc>
        <w:tc>
          <w:tcPr>
            <w:tcW w:w="1274" w:type="dxa"/>
            <w:vMerge w:val="restart"/>
            <w:noWrap/>
            <w:vAlign w:val="center"/>
          </w:tcPr>
          <w:p w14:paraId="259F8BB8">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color w:val="auto"/>
                <w:kern w:val="2"/>
                <w:sz w:val="20"/>
                <w:szCs w:val="20"/>
                <w:lang w:val="en-US" w:eastAsia="zh-CN" w:bidi="ar-SA"/>
              </w:rPr>
            </w:pPr>
            <w:r>
              <w:rPr>
                <w:rFonts w:hint="eastAsia" w:ascii="仿宋_GB2312" w:hAnsi="仿宋_GB2312" w:eastAsia="仿宋_GB2312" w:cs="仿宋_GB2312"/>
                <w:color w:val="auto"/>
                <w:kern w:val="2"/>
                <w:sz w:val="20"/>
                <w:szCs w:val="20"/>
                <w:lang w:val="en-US" w:eastAsia="zh-CN" w:bidi="ar-SA"/>
              </w:rPr>
              <w:t>器具</w:t>
            </w:r>
          </w:p>
        </w:tc>
        <w:tc>
          <w:tcPr>
            <w:tcW w:w="1681" w:type="dxa"/>
            <w:noWrap/>
            <w:vAlign w:val="center"/>
          </w:tcPr>
          <w:p w14:paraId="2EA58297">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塑料毒饵盒</w:t>
            </w:r>
          </w:p>
        </w:tc>
        <w:tc>
          <w:tcPr>
            <w:tcW w:w="2365" w:type="dxa"/>
            <w:noWrap/>
            <w:vAlign w:val="center"/>
          </w:tcPr>
          <w:p w14:paraId="2FBDD860">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50 个/件</w:t>
            </w:r>
          </w:p>
        </w:tc>
        <w:tc>
          <w:tcPr>
            <w:tcW w:w="3121" w:type="dxa"/>
            <w:noWrap/>
            <w:vAlign w:val="center"/>
          </w:tcPr>
          <w:p w14:paraId="48B2707D">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w:t>
            </w:r>
          </w:p>
        </w:tc>
      </w:tr>
      <w:tr w14:paraId="48D6F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6" w:hRule="exact"/>
          <w:jc w:val="center"/>
        </w:trPr>
        <w:tc>
          <w:tcPr>
            <w:tcW w:w="817" w:type="dxa"/>
            <w:noWrap/>
            <w:vAlign w:val="center"/>
          </w:tcPr>
          <w:p w14:paraId="22372615">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11</w:t>
            </w:r>
          </w:p>
        </w:tc>
        <w:tc>
          <w:tcPr>
            <w:tcW w:w="1274" w:type="dxa"/>
            <w:vMerge w:val="continue"/>
            <w:noWrap/>
            <w:vAlign w:val="center"/>
          </w:tcPr>
          <w:p w14:paraId="39ECB52E">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color w:val="auto"/>
                <w:kern w:val="2"/>
                <w:sz w:val="20"/>
                <w:szCs w:val="20"/>
              </w:rPr>
            </w:pPr>
          </w:p>
        </w:tc>
        <w:tc>
          <w:tcPr>
            <w:tcW w:w="1681" w:type="dxa"/>
            <w:noWrap/>
            <w:vAlign w:val="center"/>
          </w:tcPr>
          <w:p w14:paraId="3FACAF9B">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喷壶</w:t>
            </w:r>
          </w:p>
        </w:tc>
        <w:tc>
          <w:tcPr>
            <w:tcW w:w="2365" w:type="dxa"/>
            <w:noWrap/>
            <w:vAlign w:val="center"/>
          </w:tcPr>
          <w:p w14:paraId="3A1D04B6">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6 个/件</w:t>
            </w:r>
          </w:p>
        </w:tc>
        <w:tc>
          <w:tcPr>
            <w:tcW w:w="3121" w:type="dxa"/>
            <w:noWrap/>
            <w:vAlign w:val="center"/>
          </w:tcPr>
          <w:p w14:paraId="5AE4079F">
            <w:pPr>
              <w:keepNext w:val="0"/>
              <w:keepLines w:val="0"/>
              <w:pageBreakBefore w:val="0"/>
              <w:widowControl w:val="0"/>
              <w:kinsoku/>
              <w:wordWrap/>
              <w:overflowPunct/>
              <w:topLinePunct w:val="0"/>
              <w:autoSpaceDE/>
              <w:autoSpaceDN/>
              <w:bidi w:val="0"/>
              <w:adjustRightInd/>
              <w:spacing w:line="360" w:lineRule="auto"/>
              <w:jc w:val="center"/>
              <w:rPr>
                <w:rFonts w:hint="eastAsia" w:ascii="仿宋_GB2312" w:hAnsi="仿宋_GB2312" w:eastAsia="仿宋_GB2312" w:cs="仿宋_GB2312"/>
                <w:bCs/>
                <w:color w:val="auto"/>
                <w:kern w:val="2"/>
                <w:sz w:val="20"/>
                <w:szCs w:val="20"/>
                <w:lang w:val="en-US" w:eastAsia="zh-CN" w:bidi="ar-SA"/>
              </w:rPr>
            </w:pPr>
            <w:r>
              <w:rPr>
                <w:rFonts w:hint="eastAsia" w:ascii="仿宋_GB2312" w:hAnsi="仿宋_GB2312" w:eastAsia="仿宋_GB2312" w:cs="仿宋_GB2312"/>
                <w:bCs/>
                <w:color w:val="auto"/>
                <w:kern w:val="2"/>
                <w:sz w:val="20"/>
                <w:szCs w:val="20"/>
                <w:lang w:val="en-US" w:eastAsia="zh-CN" w:bidi="ar-SA"/>
              </w:rPr>
              <w:t>5L</w:t>
            </w:r>
          </w:p>
        </w:tc>
      </w:tr>
    </w:tbl>
    <w:p w14:paraId="25413530">
      <w:pPr>
        <w:keepNext w:val="0"/>
        <w:keepLines w:val="0"/>
        <w:pageBreakBefore w:val="0"/>
        <w:widowControl w:val="0"/>
        <w:kinsoku/>
        <w:wordWrap/>
        <w:overflowPunct/>
        <w:topLinePunct w:val="0"/>
        <w:autoSpaceDE/>
        <w:autoSpaceDN/>
        <w:bidi w:val="0"/>
        <w:adjustRightInd/>
        <w:snapToGrid w:val="0"/>
        <w:spacing w:line="360" w:lineRule="auto"/>
        <w:ind w:left="420" w:leftChars="200" w:firstLine="400" w:firstLineChars="200"/>
        <w:jc w:val="both"/>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3）质量要求：全国爱卫会和卫生部《病媒生物预防控制管理规定》；全国爱卫会关于印发《国家卫生城市标准》和《国家卫生城市考核鉴定和监督管理办法（试行）》的通知；全国爱卫会除四害标准；全国爱卫会关于印发《灭鼠、蚊、蝇、蟑螂标准》 及《灭鼠、蚊、蝇、蟑螂考核鉴定办法》的通知；病媒生物监测国家标准、病媒生物密度控制国家标准以及病媒生物监测方案；《陕西省卫生城市（县城、乡镇）病媒生物防制专项考核实施方案（试行）的通知》（陕爱卫办发[2017]3号）；国家、陕西省、西安市相关标准及要求；采购人在项目实施过程中的要求。</w:t>
      </w:r>
    </w:p>
    <w:p w14:paraId="486491EB">
      <w:pPr>
        <w:keepNext w:val="0"/>
        <w:keepLines w:val="0"/>
        <w:pageBreakBefore w:val="0"/>
        <w:widowControl w:val="0"/>
        <w:kinsoku/>
        <w:wordWrap/>
        <w:overflowPunct/>
        <w:topLinePunct w:val="0"/>
        <w:autoSpaceDE/>
        <w:autoSpaceDN/>
        <w:bidi w:val="0"/>
        <w:adjustRightInd/>
        <w:snapToGrid w:val="0"/>
        <w:spacing w:line="360" w:lineRule="auto"/>
        <w:ind w:left="420" w:leftChars="200" w:firstLine="400" w:firstLineChars="200"/>
        <w:jc w:val="both"/>
        <w:rPr>
          <w:rFonts w:hint="eastAsia" w:ascii="仿宋_GB2312" w:hAnsi="仿宋_GB2312" w:eastAsia="仿宋_GB2312" w:cs="仿宋_GB2312"/>
          <w:color w:val="auto"/>
          <w:kern w:val="0"/>
          <w:sz w:val="20"/>
          <w:szCs w:val="20"/>
          <w:highlight w:val="none"/>
          <w:lang w:val="en-US" w:eastAsia="zh-CN" w:bidi="ar-SA"/>
        </w:rPr>
      </w:pPr>
      <w:r>
        <w:rPr>
          <w:rFonts w:hint="eastAsia" w:ascii="仿宋_GB2312" w:hAnsi="仿宋_GB2312" w:eastAsia="仿宋_GB2312" w:cs="仿宋_GB2312"/>
          <w:color w:val="auto"/>
          <w:kern w:val="0"/>
          <w:sz w:val="20"/>
          <w:szCs w:val="20"/>
          <w:lang w:val="en-US" w:eastAsia="zh-CN" w:bidi="ar-SA"/>
        </w:rPr>
        <w:t>（4）服务要求：从事“四害”消杀服务的从业人员必须佩带《上岗证》；作业完成后应认真填写《灭鼠杀虫服务记录卡》交由采购人现场签认，双方各执一份，保存待查；根据卫生害虫种类和有关规</w:t>
      </w:r>
      <w:r>
        <w:rPr>
          <w:rFonts w:hint="eastAsia" w:ascii="仿宋_GB2312" w:hAnsi="仿宋_GB2312" w:eastAsia="仿宋_GB2312" w:cs="仿宋_GB2312"/>
          <w:color w:val="auto"/>
          <w:kern w:val="0"/>
          <w:sz w:val="20"/>
          <w:szCs w:val="20"/>
          <w:highlight w:val="none"/>
          <w:lang w:val="en-US" w:eastAsia="zh-CN" w:bidi="ar-SA"/>
        </w:rPr>
        <w:t>定，定期进行虫害密度监测或防治效果监测，资料及时统计分析上报并归档保存；在消杀过程中加强人员的培训和指导，做到科学合理使用药品，在环保的前提下确保消杀的质量；检测人员文明作业、规范操作，统一着有标志的工作装；根据革命公园辖区范围的面积，合理配备人员及监测器械。</w:t>
      </w:r>
    </w:p>
    <w:p w14:paraId="4C062EA6">
      <w:pPr>
        <w:keepNext w:val="0"/>
        <w:keepLines w:val="0"/>
        <w:pageBreakBefore w:val="0"/>
        <w:widowControl w:val="0"/>
        <w:kinsoku/>
        <w:wordWrap/>
        <w:overflowPunct/>
        <w:topLinePunct w:val="0"/>
        <w:autoSpaceDE/>
        <w:autoSpaceDN/>
        <w:bidi w:val="0"/>
        <w:adjustRightInd/>
        <w:snapToGrid w:val="0"/>
        <w:spacing w:line="360" w:lineRule="auto"/>
        <w:ind w:left="735" w:leftChars="0"/>
        <w:jc w:val="both"/>
        <w:rPr>
          <w:rFonts w:hint="eastAsia" w:ascii="仿宋_GB2312" w:hAnsi="仿宋_GB2312" w:eastAsia="仿宋_GB2312" w:cs="仿宋_GB2312"/>
          <w:b/>
          <w:bCs/>
          <w:color w:val="auto"/>
          <w:kern w:val="0"/>
          <w:sz w:val="20"/>
          <w:szCs w:val="20"/>
          <w:highlight w:val="none"/>
          <w:lang w:val="en-US" w:eastAsia="zh-CN" w:bidi="ar-SA"/>
        </w:rPr>
      </w:pPr>
      <w:r>
        <w:rPr>
          <w:rFonts w:hint="eastAsia" w:ascii="仿宋_GB2312" w:hAnsi="仿宋_GB2312" w:eastAsia="仿宋_GB2312" w:cs="仿宋_GB2312"/>
          <w:b/>
          <w:bCs/>
          <w:color w:val="auto"/>
          <w:kern w:val="0"/>
          <w:sz w:val="20"/>
          <w:szCs w:val="20"/>
          <w:highlight w:val="none"/>
          <w:lang w:val="en-US" w:eastAsia="zh-CN" w:bidi="ar-SA"/>
        </w:rPr>
        <w:t>4、</w:t>
      </w:r>
      <w:r>
        <w:rPr>
          <w:rFonts w:hint="eastAsia" w:ascii="仿宋_GB2312" w:hAnsi="仿宋_GB2312" w:eastAsia="仿宋_GB2312" w:cs="仿宋_GB2312"/>
          <w:b/>
          <w:bCs/>
          <w:color w:val="auto"/>
          <w:kern w:val="0"/>
          <w:sz w:val="20"/>
          <w:szCs w:val="20"/>
          <w:highlight w:val="none"/>
          <w:lang w:val="zh-CN" w:eastAsia="zh-CN" w:bidi="ar-SA"/>
        </w:rPr>
        <w:t>节日</w:t>
      </w:r>
      <w:r>
        <w:rPr>
          <w:rFonts w:hint="eastAsia" w:ascii="仿宋_GB2312" w:hAnsi="仿宋_GB2312" w:eastAsia="仿宋_GB2312" w:cs="仿宋_GB2312"/>
          <w:b/>
          <w:bCs/>
          <w:color w:val="auto"/>
          <w:kern w:val="0"/>
          <w:sz w:val="20"/>
          <w:szCs w:val="20"/>
          <w:highlight w:val="none"/>
          <w:lang w:val="en-US" w:eastAsia="zh-CN" w:bidi="ar-SA"/>
        </w:rPr>
        <w:t>氛围营造</w:t>
      </w:r>
    </w:p>
    <w:p w14:paraId="6477F3A7">
      <w:pPr>
        <w:keepNext w:val="0"/>
        <w:keepLines w:val="0"/>
        <w:pageBreakBefore w:val="0"/>
        <w:widowControl w:val="0"/>
        <w:kinsoku/>
        <w:wordWrap/>
        <w:overflowPunct/>
        <w:topLinePunct w:val="0"/>
        <w:autoSpaceDE/>
        <w:autoSpaceDN/>
        <w:bidi w:val="0"/>
        <w:adjustRightInd/>
        <w:snapToGrid w:val="0"/>
        <w:spacing w:line="360" w:lineRule="auto"/>
        <w:ind w:left="420" w:leftChars="20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highlight w:val="none"/>
          <w:lang w:val="zh-CN" w:eastAsia="zh-CN" w:bidi="ar-SA"/>
        </w:rPr>
        <w:t>为提升公园形象，烘托节日气氛，在元旦、春节、</w:t>
      </w:r>
      <w:r>
        <w:rPr>
          <w:rFonts w:hint="eastAsia" w:ascii="仿宋_GB2312" w:hAnsi="仿宋_GB2312" w:eastAsia="仿宋_GB2312" w:cs="仿宋_GB2312"/>
          <w:color w:val="auto"/>
          <w:kern w:val="0"/>
          <w:sz w:val="20"/>
          <w:szCs w:val="20"/>
          <w:highlight w:val="none"/>
          <w:lang w:val="en-US" w:eastAsia="zh-CN" w:bidi="ar-SA"/>
        </w:rPr>
        <w:t>清明、</w:t>
      </w:r>
      <w:r>
        <w:rPr>
          <w:rFonts w:hint="eastAsia" w:ascii="仿宋_GB2312" w:hAnsi="仿宋_GB2312" w:eastAsia="仿宋_GB2312" w:cs="仿宋_GB2312"/>
          <w:color w:val="auto"/>
          <w:kern w:val="0"/>
          <w:sz w:val="20"/>
          <w:szCs w:val="20"/>
          <w:highlight w:val="none"/>
          <w:lang w:val="zh-CN" w:eastAsia="zh-CN" w:bidi="ar-SA"/>
        </w:rPr>
        <w:t>“五一”、“十一”等节假日期间及重大活动期间，</w:t>
      </w:r>
      <w:r>
        <w:rPr>
          <w:rFonts w:hint="eastAsia" w:ascii="仿宋_GB2312" w:hAnsi="仿宋_GB2312" w:eastAsia="仿宋_GB2312" w:cs="仿宋_GB2312"/>
          <w:color w:val="auto"/>
          <w:kern w:val="0"/>
          <w:sz w:val="20"/>
          <w:szCs w:val="20"/>
          <w:highlight w:val="none"/>
          <w:lang w:val="en-US" w:eastAsia="zh-CN" w:bidi="ar-SA"/>
        </w:rPr>
        <w:t>根据采购人要求</w:t>
      </w:r>
      <w:r>
        <w:rPr>
          <w:rFonts w:hint="eastAsia" w:ascii="仿宋_GB2312" w:hAnsi="仿宋_GB2312" w:eastAsia="仿宋_GB2312" w:cs="仿宋_GB2312"/>
          <w:color w:val="auto"/>
          <w:kern w:val="0"/>
          <w:sz w:val="20"/>
          <w:szCs w:val="20"/>
          <w:highlight w:val="none"/>
          <w:lang w:val="zh-CN" w:eastAsia="zh-CN" w:bidi="ar-SA"/>
        </w:rPr>
        <w:t>对公园主要进出口及景观广场进行摆</w:t>
      </w:r>
      <w:r>
        <w:rPr>
          <w:rFonts w:hint="eastAsia" w:ascii="仿宋_GB2312" w:hAnsi="仿宋_GB2312" w:eastAsia="仿宋_GB2312" w:cs="仿宋_GB2312"/>
          <w:color w:val="auto"/>
          <w:kern w:val="0"/>
          <w:sz w:val="20"/>
          <w:szCs w:val="20"/>
          <w:lang w:val="zh-CN" w:eastAsia="zh-CN" w:bidi="ar-SA"/>
        </w:rPr>
        <w:t>花及气氛布置。园区内整年度的节日氛围营造，氛围营造方案需报请甲方审定。</w:t>
      </w:r>
    </w:p>
    <w:p w14:paraId="04774132">
      <w:pPr>
        <w:keepNext w:val="0"/>
        <w:keepLines w:val="0"/>
        <w:pageBreakBefore w:val="0"/>
        <w:widowControl w:val="0"/>
        <w:kinsoku/>
        <w:wordWrap/>
        <w:overflowPunct/>
        <w:topLinePunct w:val="0"/>
        <w:autoSpaceDE/>
        <w:autoSpaceDN/>
        <w:bidi w:val="0"/>
        <w:adjustRightInd/>
        <w:snapToGrid w:val="0"/>
        <w:spacing w:line="360" w:lineRule="auto"/>
        <w:ind w:left="420" w:leftChars="200" w:firstLine="402" w:firstLineChars="200"/>
        <w:jc w:val="both"/>
        <w:rPr>
          <w:rFonts w:hint="eastAsia" w:ascii="仿宋_GB2312" w:hAnsi="仿宋_GB2312" w:eastAsia="仿宋_GB2312" w:cs="仿宋_GB2312"/>
          <w:b/>
          <w:bCs/>
          <w:color w:val="FF0000"/>
          <w:kern w:val="0"/>
          <w:sz w:val="20"/>
          <w:szCs w:val="20"/>
          <w:highlight w:val="none"/>
          <w:lang w:val="en-US" w:eastAsia="zh-CN" w:bidi="ar-SA"/>
        </w:rPr>
      </w:pPr>
      <w:r>
        <w:rPr>
          <w:rFonts w:hint="eastAsia" w:ascii="仿宋_GB2312" w:hAnsi="仿宋_GB2312" w:eastAsia="仿宋_GB2312" w:cs="仿宋_GB2312"/>
          <w:b/>
          <w:bCs/>
          <w:color w:val="FF0000"/>
          <w:kern w:val="0"/>
          <w:sz w:val="20"/>
          <w:szCs w:val="20"/>
          <w:highlight w:val="none"/>
          <w:lang w:val="en-US" w:eastAsia="zh-CN" w:bidi="ar-SA"/>
        </w:rPr>
        <w:t>☆注：</w:t>
      </w:r>
      <w:r>
        <w:rPr>
          <w:rFonts w:hint="eastAsia" w:ascii="仿宋_GB2312" w:hAnsi="仿宋_GB2312" w:eastAsia="仿宋_GB2312" w:cs="仿宋_GB2312"/>
          <w:b/>
          <w:bCs/>
          <w:color w:val="FF0000"/>
          <w:kern w:val="0"/>
          <w:sz w:val="20"/>
          <w:szCs w:val="20"/>
          <w:highlight w:val="none"/>
          <w:lang w:val="zh-CN" w:eastAsia="zh-CN" w:bidi="ar-SA"/>
        </w:rPr>
        <w:t>全年摆花次数不低于8次。</w:t>
      </w:r>
    </w:p>
    <w:p w14:paraId="71E3B7D0">
      <w:pPr>
        <w:keepNext w:val="0"/>
        <w:keepLines w:val="0"/>
        <w:pageBreakBefore w:val="0"/>
        <w:widowControl w:val="0"/>
        <w:kinsoku/>
        <w:wordWrap/>
        <w:overflowPunct/>
        <w:topLinePunct w:val="0"/>
        <w:autoSpaceDE/>
        <w:autoSpaceDN/>
        <w:bidi w:val="0"/>
        <w:adjustRightInd/>
        <w:snapToGrid w:val="0"/>
        <w:spacing w:line="360" w:lineRule="auto"/>
        <w:ind w:left="735" w:leftChars="0"/>
        <w:jc w:val="both"/>
        <w:rPr>
          <w:rFonts w:hint="eastAsia" w:ascii="仿宋_GB2312" w:hAnsi="仿宋_GB2312" w:eastAsia="仿宋_GB2312" w:cs="仿宋_GB2312"/>
          <w:b/>
          <w:bCs/>
          <w:color w:val="auto"/>
          <w:kern w:val="0"/>
          <w:sz w:val="20"/>
          <w:szCs w:val="20"/>
          <w:lang w:val="zh-CN" w:eastAsia="zh-CN" w:bidi="ar-SA"/>
        </w:rPr>
      </w:pPr>
      <w:r>
        <w:rPr>
          <w:rFonts w:hint="eastAsia" w:ascii="仿宋_GB2312" w:hAnsi="仿宋_GB2312" w:eastAsia="仿宋_GB2312" w:cs="仿宋_GB2312"/>
          <w:b/>
          <w:bCs/>
          <w:color w:val="auto"/>
          <w:kern w:val="0"/>
          <w:sz w:val="20"/>
          <w:szCs w:val="20"/>
          <w:lang w:val="en-US" w:eastAsia="zh-CN" w:bidi="ar-SA"/>
        </w:rPr>
        <w:t>5、</w:t>
      </w:r>
      <w:r>
        <w:rPr>
          <w:rFonts w:hint="eastAsia" w:ascii="仿宋_GB2312" w:hAnsi="仿宋_GB2312" w:eastAsia="仿宋_GB2312" w:cs="仿宋_GB2312"/>
          <w:b/>
          <w:bCs/>
          <w:color w:val="auto"/>
          <w:kern w:val="0"/>
          <w:sz w:val="20"/>
          <w:szCs w:val="20"/>
          <w:lang w:val="zh-CN" w:eastAsia="zh-CN" w:bidi="ar-SA"/>
        </w:rPr>
        <w:t>园区保洁</w:t>
      </w:r>
    </w:p>
    <w:p w14:paraId="62E606EF">
      <w:pPr>
        <w:keepNext w:val="0"/>
        <w:keepLines w:val="0"/>
        <w:pageBreakBefore w:val="0"/>
        <w:widowControl w:val="0"/>
        <w:tabs>
          <w:tab w:val="left" w:pos="660"/>
        </w:tabs>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2"/>
          <w:sz w:val="20"/>
          <w:szCs w:val="20"/>
        </w:rPr>
      </w:pPr>
      <w:r>
        <w:rPr>
          <w:rFonts w:hint="eastAsia" w:ascii="仿宋_GB2312" w:hAnsi="仿宋_GB2312" w:eastAsia="仿宋_GB2312" w:cs="仿宋_GB2312"/>
          <w:color w:val="auto"/>
          <w:kern w:val="0"/>
          <w:sz w:val="20"/>
          <w:szCs w:val="20"/>
          <w:lang w:val="zh-CN"/>
        </w:rPr>
        <w:t>根据市政道路及其他开放式公园定岗标准，结合</w:t>
      </w:r>
      <w:r>
        <w:rPr>
          <w:rFonts w:hint="eastAsia" w:ascii="仿宋_GB2312" w:hAnsi="仿宋_GB2312" w:eastAsia="仿宋_GB2312" w:cs="仿宋_GB2312"/>
          <w:color w:val="auto"/>
          <w:kern w:val="0"/>
          <w:sz w:val="20"/>
          <w:szCs w:val="20"/>
        </w:rPr>
        <w:t>革命公园</w:t>
      </w:r>
      <w:r>
        <w:rPr>
          <w:rFonts w:hint="eastAsia" w:ascii="仿宋_GB2312" w:hAnsi="仿宋_GB2312" w:eastAsia="仿宋_GB2312" w:cs="仿宋_GB2312"/>
          <w:color w:val="auto"/>
          <w:kern w:val="0"/>
          <w:sz w:val="20"/>
          <w:szCs w:val="20"/>
          <w:lang w:val="zh-CN"/>
        </w:rPr>
        <w:t>内部设施管理的实际需要，</w:t>
      </w:r>
      <w:r>
        <w:rPr>
          <w:rFonts w:hint="eastAsia" w:ascii="仿宋_GB2312" w:hAnsi="仿宋_GB2312" w:eastAsia="仿宋_GB2312" w:cs="仿宋_GB2312"/>
          <w:color w:val="auto"/>
          <w:kern w:val="0"/>
          <w:sz w:val="20"/>
          <w:szCs w:val="20"/>
        </w:rPr>
        <w:t>配置保洁人员并定期进行</w:t>
      </w:r>
      <w:r>
        <w:rPr>
          <w:rFonts w:hint="eastAsia" w:ascii="仿宋_GB2312" w:hAnsi="仿宋_GB2312" w:eastAsia="仿宋_GB2312" w:cs="仿宋_GB2312"/>
          <w:color w:val="auto"/>
          <w:kern w:val="0"/>
          <w:sz w:val="20"/>
          <w:szCs w:val="20"/>
          <w:lang w:val="zh-CN"/>
        </w:rPr>
        <w:t>开展岗位职责、业务技能等方面的教育培训。全年工资、加班费及福利；全年保洁耗材，全年保洁机械养护，公共卫生间保洁消耗品；所有人员需购买人身意外保险；</w:t>
      </w:r>
      <w:r>
        <w:rPr>
          <w:rFonts w:hint="eastAsia" w:ascii="仿宋_GB2312" w:hAnsi="仿宋_GB2312" w:eastAsia="仿宋_GB2312" w:cs="仿宋_GB2312"/>
          <w:color w:val="auto"/>
          <w:kern w:val="0"/>
          <w:sz w:val="20"/>
          <w:szCs w:val="20"/>
        </w:rPr>
        <w:t>人员</w:t>
      </w:r>
      <w:r>
        <w:rPr>
          <w:rFonts w:hint="eastAsia" w:ascii="仿宋_GB2312" w:hAnsi="仿宋_GB2312" w:eastAsia="仿宋_GB2312" w:cs="仿宋_GB2312"/>
          <w:color w:val="auto"/>
          <w:kern w:val="0"/>
          <w:sz w:val="20"/>
          <w:szCs w:val="20"/>
          <w:lang w:val="zh-CN"/>
        </w:rPr>
        <w:t>服装要求：保洁人员统一配置工装。工装的样式和颜色应经甲方认可和同意。另需配置雨衣、雨鞋。</w:t>
      </w:r>
    </w:p>
    <w:p w14:paraId="6625642A">
      <w:pPr>
        <w:keepNext w:val="0"/>
        <w:keepLines w:val="0"/>
        <w:pageBreakBefore w:val="0"/>
        <w:widowControl w:val="0"/>
        <w:kinsoku/>
        <w:wordWrap/>
        <w:overflowPunct/>
        <w:topLinePunct w:val="0"/>
        <w:autoSpaceDE/>
        <w:autoSpaceDN/>
        <w:bidi w:val="0"/>
        <w:adjustRightInd/>
        <w:snapToGrid w:val="0"/>
        <w:spacing w:line="360" w:lineRule="auto"/>
        <w:ind w:left="420" w:left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w:t>
      </w:r>
      <w:r>
        <w:rPr>
          <w:rFonts w:hint="eastAsia" w:ascii="仿宋_GB2312" w:hAnsi="仿宋_GB2312" w:eastAsia="仿宋_GB2312" w:cs="仿宋_GB2312"/>
          <w:color w:val="auto"/>
          <w:kern w:val="0"/>
          <w:sz w:val="20"/>
          <w:szCs w:val="20"/>
          <w:lang w:val="en-US" w:eastAsia="zh-CN" w:bidi="ar-SA"/>
        </w:rPr>
        <w:t>一</w:t>
      </w:r>
      <w:r>
        <w:rPr>
          <w:rFonts w:hint="eastAsia" w:ascii="仿宋_GB2312" w:hAnsi="仿宋_GB2312" w:eastAsia="仿宋_GB2312" w:cs="仿宋_GB2312"/>
          <w:color w:val="auto"/>
          <w:kern w:val="0"/>
          <w:sz w:val="20"/>
          <w:szCs w:val="20"/>
          <w:lang w:val="zh-CN" w:eastAsia="zh-CN" w:bidi="ar-SA"/>
        </w:rPr>
        <w:t>）保洁作业内容及标准</w:t>
      </w:r>
    </w:p>
    <w:tbl>
      <w:tblPr>
        <w:tblStyle w:val="4"/>
        <w:tblW w:w="8963" w:type="dxa"/>
        <w:tblInd w:w="2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0"/>
        <w:gridCol w:w="1770"/>
        <w:gridCol w:w="2535"/>
        <w:gridCol w:w="3248"/>
      </w:tblGrid>
      <w:tr w14:paraId="69B7B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1410" w:type="dxa"/>
            <w:noWrap/>
            <w:vAlign w:val="center"/>
          </w:tcPr>
          <w:p w14:paraId="2CADF769">
            <w:pPr>
              <w:keepNext w:val="0"/>
              <w:keepLines w:val="0"/>
              <w:pageBreakBefore w:val="0"/>
              <w:widowControl w:val="0"/>
              <w:kinsoku/>
              <w:wordWrap/>
              <w:overflowPunct/>
              <w:topLinePunct w:val="0"/>
              <w:autoSpaceDE/>
              <w:autoSpaceDN/>
              <w:bidi w:val="0"/>
              <w:adjustRightInd/>
              <w:spacing w:line="360" w:lineRule="auto"/>
              <w:ind w:firstLine="0" w:firstLineChars="0"/>
              <w:jc w:val="both"/>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保洁区域</w:t>
            </w:r>
          </w:p>
        </w:tc>
        <w:tc>
          <w:tcPr>
            <w:tcW w:w="1770" w:type="dxa"/>
            <w:noWrap/>
            <w:vAlign w:val="center"/>
          </w:tcPr>
          <w:p w14:paraId="699FE586">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保洁内容</w:t>
            </w:r>
          </w:p>
        </w:tc>
        <w:tc>
          <w:tcPr>
            <w:tcW w:w="2535" w:type="dxa"/>
            <w:noWrap/>
            <w:vAlign w:val="center"/>
          </w:tcPr>
          <w:p w14:paraId="52A2C0B0">
            <w:pPr>
              <w:keepNext w:val="0"/>
              <w:keepLines w:val="0"/>
              <w:pageBreakBefore w:val="0"/>
              <w:widowControl w:val="0"/>
              <w:kinsoku/>
              <w:wordWrap/>
              <w:overflowPunct/>
              <w:topLinePunct w:val="0"/>
              <w:autoSpaceDE/>
              <w:autoSpaceDN/>
              <w:bidi w:val="0"/>
              <w:adjustRightInd/>
              <w:spacing w:line="360" w:lineRule="auto"/>
              <w:ind w:firstLine="400" w:firstLineChars="20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次数</w:t>
            </w:r>
          </w:p>
        </w:tc>
        <w:tc>
          <w:tcPr>
            <w:tcW w:w="3248" w:type="dxa"/>
            <w:noWrap/>
            <w:vAlign w:val="center"/>
          </w:tcPr>
          <w:p w14:paraId="73DDFE97">
            <w:pPr>
              <w:keepNext w:val="0"/>
              <w:keepLines w:val="0"/>
              <w:pageBreakBefore w:val="0"/>
              <w:widowControl w:val="0"/>
              <w:kinsoku/>
              <w:wordWrap/>
              <w:overflowPunct/>
              <w:topLinePunct w:val="0"/>
              <w:autoSpaceDE/>
              <w:autoSpaceDN/>
              <w:bidi w:val="0"/>
              <w:adjustRightInd/>
              <w:spacing w:line="360" w:lineRule="auto"/>
              <w:ind w:firstLine="400" w:firstLineChars="20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保洁标准</w:t>
            </w:r>
          </w:p>
        </w:tc>
      </w:tr>
      <w:tr w14:paraId="79A87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trPr>
        <w:tc>
          <w:tcPr>
            <w:tcW w:w="1410" w:type="dxa"/>
            <w:vMerge w:val="restart"/>
            <w:noWrap/>
            <w:vAlign w:val="center"/>
          </w:tcPr>
          <w:p w14:paraId="78BAFC13">
            <w:pPr>
              <w:keepNext w:val="0"/>
              <w:keepLines w:val="0"/>
              <w:pageBreakBefore w:val="0"/>
              <w:widowControl w:val="0"/>
              <w:kinsoku/>
              <w:wordWrap/>
              <w:overflowPunct/>
              <w:topLinePunct w:val="0"/>
              <w:autoSpaceDE/>
              <w:autoSpaceDN/>
              <w:bidi w:val="0"/>
              <w:adjustRightInd/>
              <w:spacing w:line="360" w:lineRule="auto"/>
              <w:ind w:firstLine="0" w:firstLineChars="0"/>
              <w:jc w:val="both"/>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室外公共区域</w:t>
            </w:r>
          </w:p>
        </w:tc>
        <w:tc>
          <w:tcPr>
            <w:tcW w:w="1770" w:type="dxa"/>
            <w:noWrap/>
            <w:vAlign w:val="center"/>
          </w:tcPr>
          <w:p w14:paraId="23496A1B">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地面清扫</w:t>
            </w:r>
          </w:p>
        </w:tc>
        <w:tc>
          <w:tcPr>
            <w:tcW w:w="2535" w:type="dxa"/>
            <w:noWrap/>
            <w:vAlign w:val="center"/>
          </w:tcPr>
          <w:p w14:paraId="694173AE">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2次/日</w:t>
            </w:r>
          </w:p>
        </w:tc>
        <w:tc>
          <w:tcPr>
            <w:tcW w:w="3248" w:type="dxa"/>
            <w:noWrap/>
            <w:vAlign w:val="center"/>
          </w:tcPr>
          <w:p w14:paraId="276DE361">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无杂物，污渍</w:t>
            </w:r>
          </w:p>
        </w:tc>
      </w:tr>
      <w:tr w14:paraId="4FE41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1410" w:type="dxa"/>
            <w:vMerge w:val="continue"/>
            <w:noWrap/>
            <w:vAlign w:val="center"/>
          </w:tcPr>
          <w:p w14:paraId="20B4DC9F">
            <w:pPr>
              <w:keepNext w:val="0"/>
              <w:keepLines w:val="0"/>
              <w:pageBreakBefore w:val="0"/>
              <w:widowControl w:val="0"/>
              <w:kinsoku/>
              <w:wordWrap/>
              <w:overflowPunct/>
              <w:topLinePunct w:val="0"/>
              <w:autoSpaceDE/>
              <w:autoSpaceDN/>
              <w:bidi w:val="0"/>
              <w:adjustRightInd/>
              <w:spacing w:line="360" w:lineRule="auto"/>
              <w:ind w:firstLine="400" w:firstLineChars="200"/>
              <w:jc w:val="both"/>
              <w:textAlignment w:val="baseline"/>
              <w:rPr>
                <w:rFonts w:hint="eastAsia" w:ascii="仿宋_GB2312" w:hAnsi="仿宋_GB2312" w:eastAsia="仿宋_GB2312" w:cs="仿宋_GB2312"/>
                <w:color w:val="auto"/>
                <w:kern w:val="0"/>
                <w:sz w:val="20"/>
                <w:szCs w:val="20"/>
                <w:lang w:val="en-US" w:eastAsia="zh-CN" w:bidi="ar-SA"/>
              </w:rPr>
            </w:pPr>
          </w:p>
        </w:tc>
        <w:tc>
          <w:tcPr>
            <w:tcW w:w="1770" w:type="dxa"/>
            <w:noWrap/>
            <w:vAlign w:val="center"/>
          </w:tcPr>
          <w:p w14:paraId="7A693B66">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地面保洁</w:t>
            </w:r>
          </w:p>
        </w:tc>
        <w:tc>
          <w:tcPr>
            <w:tcW w:w="2535" w:type="dxa"/>
            <w:noWrap/>
            <w:vAlign w:val="center"/>
          </w:tcPr>
          <w:p w14:paraId="2C7F2703">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不断巡视</w:t>
            </w:r>
          </w:p>
        </w:tc>
        <w:tc>
          <w:tcPr>
            <w:tcW w:w="3248" w:type="dxa"/>
            <w:noWrap/>
            <w:vAlign w:val="center"/>
          </w:tcPr>
          <w:p w14:paraId="5759CA64">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地面清洁无杂物，无垃圾</w:t>
            </w:r>
          </w:p>
        </w:tc>
      </w:tr>
      <w:tr w14:paraId="7E0A7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trPr>
        <w:tc>
          <w:tcPr>
            <w:tcW w:w="1410" w:type="dxa"/>
            <w:vMerge w:val="continue"/>
            <w:noWrap/>
            <w:vAlign w:val="center"/>
          </w:tcPr>
          <w:p w14:paraId="72699621">
            <w:pPr>
              <w:keepNext w:val="0"/>
              <w:keepLines w:val="0"/>
              <w:pageBreakBefore w:val="0"/>
              <w:widowControl w:val="0"/>
              <w:kinsoku/>
              <w:wordWrap/>
              <w:overflowPunct/>
              <w:topLinePunct w:val="0"/>
              <w:autoSpaceDE/>
              <w:autoSpaceDN/>
              <w:bidi w:val="0"/>
              <w:adjustRightInd/>
              <w:spacing w:line="360" w:lineRule="auto"/>
              <w:ind w:firstLine="400" w:firstLineChars="200"/>
              <w:jc w:val="both"/>
              <w:textAlignment w:val="baseline"/>
              <w:rPr>
                <w:rFonts w:hint="eastAsia" w:ascii="仿宋_GB2312" w:hAnsi="仿宋_GB2312" w:eastAsia="仿宋_GB2312" w:cs="仿宋_GB2312"/>
                <w:color w:val="auto"/>
                <w:kern w:val="0"/>
                <w:sz w:val="20"/>
                <w:szCs w:val="20"/>
                <w:lang w:val="en-US" w:eastAsia="zh-CN" w:bidi="ar-SA"/>
              </w:rPr>
            </w:pPr>
          </w:p>
        </w:tc>
        <w:tc>
          <w:tcPr>
            <w:tcW w:w="1770" w:type="dxa"/>
            <w:noWrap/>
            <w:vAlign w:val="center"/>
          </w:tcPr>
          <w:p w14:paraId="770131D2">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公共健身器材</w:t>
            </w:r>
          </w:p>
        </w:tc>
        <w:tc>
          <w:tcPr>
            <w:tcW w:w="2535" w:type="dxa"/>
            <w:noWrap/>
            <w:vAlign w:val="center"/>
          </w:tcPr>
          <w:p w14:paraId="6BA3B93B">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1次/日，擦拭</w:t>
            </w:r>
          </w:p>
        </w:tc>
        <w:tc>
          <w:tcPr>
            <w:tcW w:w="3248" w:type="dxa"/>
            <w:noWrap/>
            <w:vAlign w:val="center"/>
          </w:tcPr>
          <w:p w14:paraId="7D643653">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无污迹，无污物</w:t>
            </w:r>
          </w:p>
        </w:tc>
      </w:tr>
      <w:tr w14:paraId="2E213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trPr>
        <w:tc>
          <w:tcPr>
            <w:tcW w:w="1410" w:type="dxa"/>
            <w:vMerge w:val="continue"/>
            <w:noWrap/>
            <w:vAlign w:val="center"/>
          </w:tcPr>
          <w:p w14:paraId="70E6E88D">
            <w:pPr>
              <w:keepNext w:val="0"/>
              <w:keepLines w:val="0"/>
              <w:pageBreakBefore w:val="0"/>
              <w:widowControl w:val="0"/>
              <w:kinsoku/>
              <w:wordWrap/>
              <w:overflowPunct/>
              <w:topLinePunct w:val="0"/>
              <w:autoSpaceDE/>
              <w:autoSpaceDN/>
              <w:bidi w:val="0"/>
              <w:adjustRightInd/>
              <w:spacing w:line="360" w:lineRule="auto"/>
              <w:ind w:firstLine="400" w:firstLineChars="200"/>
              <w:jc w:val="both"/>
              <w:textAlignment w:val="baseline"/>
              <w:rPr>
                <w:rFonts w:hint="eastAsia" w:ascii="仿宋_GB2312" w:hAnsi="仿宋_GB2312" w:eastAsia="仿宋_GB2312" w:cs="仿宋_GB2312"/>
                <w:color w:val="auto"/>
                <w:kern w:val="0"/>
                <w:sz w:val="20"/>
                <w:szCs w:val="20"/>
                <w:lang w:val="en-US" w:eastAsia="zh-CN" w:bidi="ar-SA"/>
              </w:rPr>
            </w:pPr>
          </w:p>
        </w:tc>
        <w:tc>
          <w:tcPr>
            <w:tcW w:w="1770" w:type="dxa"/>
            <w:noWrap/>
            <w:vAlign w:val="center"/>
          </w:tcPr>
          <w:p w14:paraId="447EAA72">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垃圾桶</w:t>
            </w:r>
          </w:p>
        </w:tc>
        <w:tc>
          <w:tcPr>
            <w:tcW w:w="2535" w:type="dxa"/>
            <w:noWrap/>
            <w:vAlign w:val="center"/>
          </w:tcPr>
          <w:p w14:paraId="39984D24">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1次/日，擦拭</w:t>
            </w:r>
          </w:p>
        </w:tc>
        <w:tc>
          <w:tcPr>
            <w:tcW w:w="3248" w:type="dxa"/>
            <w:noWrap/>
            <w:vAlign w:val="center"/>
          </w:tcPr>
          <w:p w14:paraId="3D7FEC89">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桶外清洁，无杂物</w:t>
            </w:r>
          </w:p>
        </w:tc>
      </w:tr>
      <w:tr w14:paraId="46FED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trPr>
        <w:tc>
          <w:tcPr>
            <w:tcW w:w="1410" w:type="dxa"/>
            <w:vMerge w:val="continue"/>
            <w:noWrap/>
            <w:vAlign w:val="center"/>
          </w:tcPr>
          <w:p w14:paraId="2FB97DC3">
            <w:pPr>
              <w:keepNext w:val="0"/>
              <w:keepLines w:val="0"/>
              <w:pageBreakBefore w:val="0"/>
              <w:widowControl w:val="0"/>
              <w:kinsoku/>
              <w:wordWrap/>
              <w:overflowPunct/>
              <w:topLinePunct w:val="0"/>
              <w:autoSpaceDE/>
              <w:autoSpaceDN/>
              <w:bidi w:val="0"/>
              <w:adjustRightInd/>
              <w:spacing w:line="360" w:lineRule="auto"/>
              <w:ind w:firstLine="400" w:firstLineChars="200"/>
              <w:jc w:val="both"/>
              <w:textAlignment w:val="baseline"/>
              <w:rPr>
                <w:rFonts w:hint="eastAsia" w:ascii="仿宋_GB2312" w:hAnsi="仿宋_GB2312" w:eastAsia="仿宋_GB2312" w:cs="仿宋_GB2312"/>
                <w:color w:val="auto"/>
                <w:kern w:val="0"/>
                <w:sz w:val="20"/>
                <w:szCs w:val="20"/>
                <w:lang w:val="en-US" w:eastAsia="zh-CN" w:bidi="ar-SA"/>
              </w:rPr>
            </w:pPr>
          </w:p>
        </w:tc>
        <w:tc>
          <w:tcPr>
            <w:tcW w:w="1770" w:type="dxa"/>
            <w:noWrap/>
            <w:vAlign w:val="center"/>
          </w:tcPr>
          <w:p w14:paraId="4E9AA88B">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公共座椅</w:t>
            </w:r>
          </w:p>
        </w:tc>
        <w:tc>
          <w:tcPr>
            <w:tcW w:w="2535" w:type="dxa"/>
            <w:noWrap/>
            <w:vAlign w:val="center"/>
          </w:tcPr>
          <w:p w14:paraId="231D6374">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1次/日，擦拭</w:t>
            </w:r>
          </w:p>
        </w:tc>
        <w:tc>
          <w:tcPr>
            <w:tcW w:w="3248" w:type="dxa"/>
            <w:noWrap/>
            <w:vAlign w:val="center"/>
          </w:tcPr>
          <w:p w14:paraId="22C156BA">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座椅清洁，无杂物</w:t>
            </w:r>
          </w:p>
        </w:tc>
      </w:tr>
      <w:tr w14:paraId="503B4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trPr>
        <w:tc>
          <w:tcPr>
            <w:tcW w:w="1410" w:type="dxa"/>
            <w:vMerge w:val="continue"/>
            <w:noWrap/>
            <w:vAlign w:val="center"/>
          </w:tcPr>
          <w:p w14:paraId="71098D13">
            <w:pPr>
              <w:keepNext w:val="0"/>
              <w:keepLines w:val="0"/>
              <w:pageBreakBefore w:val="0"/>
              <w:widowControl w:val="0"/>
              <w:kinsoku/>
              <w:wordWrap/>
              <w:overflowPunct/>
              <w:topLinePunct w:val="0"/>
              <w:autoSpaceDE/>
              <w:autoSpaceDN/>
              <w:bidi w:val="0"/>
              <w:adjustRightInd/>
              <w:spacing w:line="360" w:lineRule="auto"/>
              <w:ind w:firstLine="400" w:firstLineChars="200"/>
              <w:jc w:val="both"/>
              <w:textAlignment w:val="baseline"/>
              <w:rPr>
                <w:rFonts w:hint="eastAsia" w:ascii="仿宋_GB2312" w:hAnsi="仿宋_GB2312" w:eastAsia="仿宋_GB2312" w:cs="仿宋_GB2312"/>
                <w:color w:val="auto"/>
                <w:kern w:val="0"/>
                <w:sz w:val="20"/>
                <w:szCs w:val="20"/>
                <w:lang w:val="en-US" w:eastAsia="zh-CN" w:bidi="ar-SA"/>
              </w:rPr>
            </w:pPr>
          </w:p>
        </w:tc>
        <w:tc>
          <w:tcPr>
            <w:tcW w:w="1770" w:type="dxa"/>
            <w:noWrap/>
            <w:vAlign w:val="center"/>
          </w:tcPr>
          <w:p w14:paraId="6FE347E0">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防腐木平台</w:t>
            </w:r>
          </w:p>
        </w:tc>
        <w:tc>
          <w:tcPr>
            <w:tcW w:w="2535" w:type="dxa"/>
            <w:noWrap/>
            <w:vAlign w:val="center"/>
          </w:tcPr>
          <w:p w14:paraId="43635873">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1次/日，擦拭</w:t>
            </w:r>
          </w:p>
        </w:tc>
        <w:tc>
          <w:tcPr>
            <w:tcW w:w="3248" w:type="dxa"/>
            <w:noWrap/>
            <w:vAlign w:val="center"/>
          </w:tcPr>
          <w:p w14:paraId="0E7F59F3">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清洁，无污物</w:t>
            </w:r>
          </w:p>
        </w:tc>
      </w:tr>
      <w:tr w14:paraId="19377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trPr>
        <w:tc>
          <w:tcPr>
            <w:tcW w:w="1410" w:type="dxa"/>
            <w:vMerge w:val="continue"/>
            <w:noWrap/>
            <w:vAlign w:val="center"/>
          </w:tcPr>
          <w:p w14:paraId="02D8AF2C">
            <w:pPr>
              <w:keepNext w:val="0"/>
              <w:keepLines w:val="0"/>
              <w:pageBreakBefore w:val="0"/>
              <w:widowControl w:val="0"/>
              <w:kinsoku/>
              <w:wordWrap/>
              <w:overflowPunct/>
              <w:topLinePunct w:val="0"/>
              <w:autoSpaceDE/>
              <w:autoSpaceDN/>
              <w:bidi w:val="0"/>
              <w:adjustRightInd/>
              <w:spacing w:line="360" w:lineRule="auto"/>
              <w:ind w:firstLine="400" w:firstLineChars="200"/>
              <w:jc w:val="both"/>
              <w:textAlignment w:val="baseline"/>
              <w:rPr>
                <w:rFonts w:hint="eastAsia" w:ascii="仿宋_GB2312" w:hAnsi="仿宋_GB2312" w:eastAsia="仿宋_GB2312" w:cs="仿宋_GB2312"/>
                <w:color w:val="auto"/>
                <w:kern w:val="0"/>
                <w:sz w:val="20"/>
                <w:szCs w:val="20"/>
                <w:lang w:val="en-US" w:eastAsia="zh-CN" w:bidi="ar-SA"/>
              </w:rPr>
            </w:pPr>
          </w:p>
        </w:tc>
        <w:tc>
          <w:tcPr>
            <w:tcW w:w="1770" w:type="dxa"/>
            <w:noWrap/>
            <w:vAlign w:val="center"/>
          </w:tcPr>
          <w:p w14:paraId="2B6DF91A">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报刊栏</w:t>
            </w:r>
          </w:p>
        </w:tc>
        <w:tc>
          <w:tcPr>
            <w:tcW w:w="2535" w:type="dxa"/>
            <w:noWrap/>
            <w:vAlign w:val="center"/>
          </w:tcPr>
          <w:p w14:paraId="6ACB4AA0">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1次/日，擦拭</w:t>
            </w:r>
          </w:p>
        </w:tc>
        <w:tc>
          <w:tcPr>
            <w:tcW w:w="3248" w:type="dxa"/>
            <w:noWrap/>
            <w:vAlign w:val="center"/>
          </w:tcPr>
          <w:p w14:paraId="7F442E10">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清洁，无污物</w:t>
            </w:r>
          </w:p>
        </w:tc>
      </w:tr>
      <w:tr w14:paraId="10CC9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trPr>
        <w:tc>
          <w:tcPr>
            <w:tcW w:w="1410" w:type="dxa"/>
            <w:vMerge w:val="continue"/>
            <w:noWrap/>
            <w:vAlign w:val="center"/>
          </w:tcPr>
          <w:p w14:paraId="63861F64">
            <w:pPr>
              <w:keepNext w:val="0"/>
              <w:keepLines w:val="0"/>
              <w:pageBreakBefore w:val="0"/>
              <w:widowControl w:val="0"/>
              <w:kinsoku/>
              <w:wordWrap/>
              <w:overflowPunct/>
              <w:topLinePunct w:val="0"/>
              <w:autoSpaceDE/>
              <w:autoSpaceDN/>
              <w:bidi w:val="0"/>
              <w:adjustRightInd/>
              <w:spacing w:line="360" w:lineRule="auto"/>
              <w:ind w:firstLine="400" w:firstLineChars="200"/>
              <w:jc w:val="both"/>
              <w:textAlignment w:val="baseline"/>
              <w:rPr>
                <w:rFonts w:hint="eastAsia" w:ascii="仿宋_GB2312" w:hAnsi="仿宋_GB2312" w:eastAsia="仿宋_GB2312" w:cs="仿宋_GB2312"/>
                <w:color w:val="auto"/>
                <w:kern w:val="0"/>
                <w:sz w:val="20"/>
                <w:szCs w:val="20"/>
                <w:lang w:val="en-US" w:eastAsia="zh-CN" w:bidi="ar-SA"/>
              </w:rPr>
            </w:pPr>
          </w:p>
        </w:tc>
        <w:tc>
          <w:tcPr>
            <w:tcW w:w="1770" w:type="dxa"/>
            <w:noWrap/>
            <w:vAlign w:val="center"/>
          </w:tcPr>
          <w:p w14:paraId="476442E9">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路灯</w:t>
            </w:r>
          </w:p>
        </w:tc>
        <w:tc>
          <w:tcPr>
            <w:tcW w:w="2535" w:type="dxa"/>
            <w:noWrap/>
            <w:vAlign w:val="center"/>
          </w:tcPr>
          <w:p w14:paraId="05E4AD7E">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1次/日，擦拭</w:t>
            </w:r>
          </w:p>
        </w:tc>
        <w:tc>
          <w:tcPr>
            <w:tcW w:w="3248" w:type="dxa"/>
            <w:noWrap/>
            <w:vAlign w:val="center"/>
          </w:tcPr>
          <w:p w14:paraId="4BD8235C">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清洁，无污物</w:t>
            </w:r>
          </w:p>
        </w:tc>
      </w:tr>
      <w:tr w14:paraId="139C8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trPr>
        <w:tc>
          <w:tcPr>
            <w:tcW w:w="1410" w:type="dxa"/>
            <w:vMerge w:val="continue"/>
            <w:noWrap/>
            <w:vAlign w:val="center"/>
          </w:tcPr>
          <w:p w14:paraId="14E5CACA">
            <w:pPr>
              <w:keepNext w:val="0"/>
              <w:keepLines w:val="0"/>
              <w:pageBreakBefore w:val="0"/>
              <w:widowControl w:val="0"/>
              <w:kinsoku/>
              <w:wordWrap/>
              <w:overflowPunct/>
              <w:topLinePunct w:val="0"/>
              <w:autoSpaceDE/>
              <w:autoSpaceDN/>
              <w:bidi w:val="0"/>
              <w:adjustRightInd/>
              <w:spacing w:line="360" w:lineRule="auto"/>
              <w:ind w:firstLine="400" w:firstLineChars="200"/>
              <w:jc w:val="both"/>
              <w:textAlignment w:val="baseline"/>
              <w:rPr>
                <w:rFonts w:hint="eastAsia" w:ascii="仿宋_GB2312" w:hAnsi="仿宋_GB2312" w:eastAsia="仿宋_GB2312" w:cs="仿宋_GB2312"/>
                <w:color w:val="auto"/>
                <w:kern w:val="0"/>
                <w:sz w:val="20"/>
                <w:szCs w:val="20"/>
                <w:lang w:val="en-US" w:eastAsia="zh-CN" w:bidi="ar-SA"/>
              </w:rPr>
            </w:pPr>
          </w:p>
        </w:tc>
        <w:tc>
          <w:tcPr>
            <w:tcW w:w="1770" w:type="dxa"/>
            <w:noWrap/>
            <w:vAlign w:val="center"/>
          </w:tcPr>
          <w:p w14:paraId="22648B7A">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立柱</w:t>
            </w:r>
          </w:p>
        </w:tc>
        <w:tc>
          <w:tcPr>
            <w:tcW w:w="2535" w:type="dxa"/>
            <w:noWrap/>
            <w:vAlign w:val="center"/>
          </w:tcPr>
          <w:p w14:paraId="052392D4">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1次/日，擦拭</w:t>
            </w:r>
          </w:p>
        </w:tc>
        <w:tc>
          <w:tcPr>
            <w:tcW w:w="3248" w:type="dxa"/>
            <w:noWrap/>
            <w:vAlign w:val="center"/>
          </w:tcPr>
          <w:p w14:paraId="070CB2DD">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清洁，无污迹</w:t>
            </w:r>
          </w:p>
        </w:tc>
      </w:tr>
      <w:tr w14:paraId="4857F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trPr>
        <w:tc>
          <w:tcPr>
            <w:tcW w:w="1410" w:type="dxa"/>
            <w:vMerge w:val="continue"/>
            <w:noWrap/>
            <w:vAlign w:val="center"/>
          </w:tcPr>
          <w:p w14:paraId="4FECB142">
            <w:pPr>
              <w:keepNext w:val="0"/>
              <w:keepLines w:val="0"/>
              <w:pageBreakBefore w:val="0"/>
              <w:widowControl w:val="0"/>
              <w:kinsoku/>
              <w:wordWrap/>
              <w:overflowPunct/>
              <w:topLinePunct w:val="0"/>
              <w:autoSpaceDE/>
              <w:autoSpaceDN/>
              <w:bidi w:val="0"/>
              <w:adjustRightInd/>
              <w:spacing w:line="360" w:lineRule="auto"/>
              <w:ind w:firstLine="400" w:firstLineChars="200"/>
              <w:jc w:val="both"/>
              <w:textAlignment w:val="baseline"/>
              <w:rPr>
                <w:rFonts w:hint="eastAsia" w:ascii="仿宋_GB2312" w:hAnsi="仿宋_GB2312" w:eastAsia="仿宋_GB2312" w:cs="仿宋_GB2312"/>
                <w:color w:val="auto"/>
                <w:kern w:val="0"/>
                <w:sz w:val="20"/>
                <w:szCs w:val="20"/>
                <w:lang w:val="en-US" w:eastAsia="zh-CN" w:bidi="ar-SA"/>
              </w:rPr>
            </w:pPr>
          </w:p>
        </w:tc>
        <w:tc>
          <w:tcPr>
            <w:tcW w:w="1770" w:type="dxa"/>
            <w:noWrap/>
            <w:vAlign w:val="center"/>
          </w:tcPr>
          <w:p w14:paraId="114AB577">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景观雕塑</w:t>
            </w:r>
          </w:p>
        </w:tc>
        <w:tc>
          <w:tcPr>
            <w:tcW w:w="2535" w:type="dxa"/>
            <w:noWrap/>
            <w:vAlign w:val="center"/>
          </w:tcPr>
          <w:p w14:paraId="5D3ECC3C">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1次/日，清洗</w:t>
            </w:r>
          </w:p>
        </w:tc>
        <w:tc>
          <w:tcPr>
            <w:tcW w:w="3248" w:type="dxa"/>
            <w:noWrap/>
            <w:vAlign w:val="center"/>
          </w:tcPr>
          <w:p w14:paraId="593F01C0">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清洁，无污迹</w:t>
            </w:r>
          </w:p>
        </w:tc>
      </w:tr>
      <w:tr w14:paraId="55A98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1410" w:type="dxa"/>
            <w:vMerge w:val="continue"/>
            <w:noWrap/>
            <w:vAlign w:val="center"/>
          </w:tcPr>
          <w:p w14:paraId="57693D2C">
            <w:pPr>
              <w:keepNext w:val="0"/>
              <w:keepLines w:val="0"/>
              <w:pageBreakBefore w:val="0"/>
              <w:widowControl w:val="0"/>
              <w:kinsoku/>
              <w:wordWrap/>
              <w:overflowPunct/>
              <w:topLinePunct w:val="0"/>
              <w:autoSpaceDE/>
              <w:autoSpaceDN/>
              <w:bidi w:val="0"/>
              <w:adjustRightInd/>
              <w:spacing w:line="360" w:lineRule="auto"/>
              <w:ind w:firstLine="400" w:firstLineChars="200"/>
              <w:jc w:val="both"/>
              <w:textAlignment w:val="baseline"/>
              <w:rPr>
                <w:rFonts w:hint="eastAsia" w:ascii="仿宋_GB2312" w:hAnsi="仿宋_GB2312" w:eastAsia="仿宋_GB2312" w:cs="仿宋_GB2312"/>
                <w:color w:val="auto"/>
                <w:kern w:val="0"/>
                <w:sz w:val="20"/>
                <w:szCs w:val="20"/>
                <w:lang w:val="en-US" w:eastAsia="zh-CN" w:bidi="ar-SA"/>
              </w:rPr>
            </w:pPr>
          </w:p>
        </w:tc>
        <w:tc>
          <w:tcPr>
            <w:tcW w:w="1770" w:type="dxa"/>
            <w:noWrap/>
            <w:vAlign w:val="center"/>
          </w:tcPr>
          <w:p w14:paraId="7F19F823">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公共卫生间</w:t>
            </w:r>
          </w:p>
        </w:tc>
        <w:tc>
          <w:tcPr>
            <w:tcW w:w="2535" w:type="dxa"/>
            <w:noWrap/>
            <w:vAlign w:val="center"/>
          </w:tcPr>
          <w:p w14:paraId="099660F1">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专人值守，不间断清洁</w:t>
            </w:r>
          </w:p>
        </w:tc>
        <w:tc>
          <w:tcPr>
            <w:tcW w:w="3248" w:type="dxa"/>
            <w:noWrap/>
            <w:vAlign w:val="center"/>
          </w:tcPr>
          <w:p w14:paraId="6B4D8401">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符合西安市城市公共厕所管理标准</w:t>
            </w:r>
          </w:p>
        </w:tc>
      </w:tr>
      <w:tr w14:paraId="75CDD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1410" w:type="dxa"/>
            <w:vMerge w:val="continue"/>
            <w:noWrap/>
            <w:vAlign w:val="center"/>
          </w:tcPr>
          <w:p w14:paraId="3F7A1E89">
            <w:pPr>
              <w:keepNext w:val="0"/>
              <w:keepLines w:val="0"/>
              <w:pageBreakBefore w:val="0"/>
              <w:widowControl w:val="0"/>
              <w:kinsoku/>
              <w:wordWrap/>
              <w:overflowPunct/>
              <w:topLinePunct w:val="0"/>
              <w:autoSpaceDE/>
              <w:autoSpaceDN/>
              <w:bidi w:val="0"/>
              <w:adjustRightInd/>
              <w:spacing w:line="360" w:lineRule="auto"/>
              <w:ind w:firstLine="400" w:firstLineChars="200"/>
              <w:jc w:val="both"/>
              <w:textAlignment w:val="baseline"/>
              <w:rPr>
                <w:rFonts w:hint="eastAsia" w:ascii="仿宋_GB2312" w:hAnsi="仿宋_GB2312" w:eastAsia="仿宋_GB2312" w:cs="仿宋_GB2312"/>
                <w:color w:val="auto"/>
                <w:kern w:val="0"/>
                <w:sz w:val="20"/>
                <w:szCs w:val="20"/>
                <w:lang w:val="en-US" w:eastAsia="zh-CN" w:bidi="ar-SA"/>
              </w:rPr>
            </w:pPr>
          </w:p>
        </w:tc>
        <w:tc>
          <w:tcPr>
            <w:tcW w:w="1770" w:type="dxa"/>
            <w:noWrap/>
            <w:vAlign w:val="center"/>
          </w:tcPr>
          <w:p w14:paraId="5AC0F0FA">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highlight w:val="none"/>
                <w:lang w:val="en-US" w:eastAsia="zh-CN" w:bidi="ar-SA"/>
              </w:rPr>
            </w:pPr>
            <w:r>
              <w:rPr>
                <w:rFonts w:hint="eastAsia" w:ascii="仿宋_GB2312" w:hAnsi="仿宋_GB2312" w:eastAsia="仿宋_GB2312" w:cs="仿宋_GB2312"/>
                <w:color w:val="auto"/>
                <w:kern w:val="0"/>
                <w:sz w:val="20"/>
                <w:szCs w:val="20"/>
                <w:highlight w:val="none"/>
                <w:lang w:val="en-US" w:eastAsia="zh-CN" w:bidi="ar-SA"/>
              </w:rPr>
              <w:t>构筑物表面</w:t>
            </w:r>
          </w:p>
        </w:tc>
        <w:tc>
          <w:tcPr>
            <w:tcW w:w="2535" w:type="dxa"/>
            <w:noWrap/>
            <w:vAlign w:val="center"/>
          </w:tcPr>
          <w:p w14:paraId="756F0A78">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highlight w:val="none"/>
                <w:lang w:val="en-US" w:eastAsia="zh-CN" w:bidi="ar-SA"/>
              </w:rPr>
            </w:pPr>
            <w:r>
              <w:rPr>
                <w:rFonts w:hint="eastAsia" w:ascii="仿宋_GB2312" w:hAnsi="仿宋_GB2312" w:eastAsia="仿宋_GB2312" w:cs="仿宋_GB2312"/>
                <w:color w:val="auto"/>
                <w:kern w:val="0"/>
                <w:sz w:val="20"/>
                <w:szCs w:val="20"/>
                <w:highlight w:val="none"/>
                <w:lang w:val="en-US" w:eastAsia="zh-CN" w:bidi="ar-SA"/>
              </w:rPr>
              <w:t>根据需要及时清理</w:t>
            </w:r>
          </w:p>
        </w:tc>
        <w:tc>
          <w:tcPr>
            <w:tcW w:w="3248" w:type="dxa"/>
            <w:noWrap/>
            <w:vAlign w:val="center"/>
          </w:tcPr>
          <w:p w14:paraId="5E35EB73">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无杂草、落叶</w:t>
            </w:r>
          </w:p>
        </w:tc>
      </w:tr>
      <w:tr w14:paraId="75E99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1410" w:type="dxa"/>
            <w:vMerge w:val="continue"/>
            <w:noWrap/>
            <w:vAlign w:val="center"/>
          </w:tcPr>
          <w:p w14:paraId="540A0436">
            <w:pPr>
              <w:keepNext w:val="0"/>
              <w:keepLines w:val="0"/>
              <w:pageBreakBefore w:val="0"/>
              <w:widowControl w:val="0"/>
              <w:kinsoku/>
              <w:wordWrap/>
              <w:overflowPunct/>
              <w:topLinePunct w:val="0"/>
              <w:autoSpaceDE/>
              <w:autoSpaceDN/>
              <w:bidi w:val="0"/>
              <w:adjustRightInd/>
              <w:spacing w:line="360" w:lineRule="auto"/>
              <w:ind w:firstLine="400" w:firstLineChars="200"/>
              <w:jc w:val="both"/>
              <w:textAlignment w:val="baseline"/>
              <w:rPr>
                <w:rFonts w:hint="eastAsia" w:ascii="仿宋_GB2312" w:hAnsi="仿宋_GB2312" w:eastAsia="仿宋_GB2312" w:cs="仿宋_GB2312"/>
                <w:color w:val="auto"/>
                <w:kern w:val="0"/>
                <w:sz w:val="20"/>
                <w:szCs w:val="20"/>
                <w:lang w:val="en-US" w:eastAsia="zh-CN" w:bidi="ar-SA"/>
              </w:rPr>
            </w:pPr>
          </w:p>
        </w:tc>
        <w:tc>
          <w:tcPr>
            <w:tcW w:w="1770" w:type="dxa"/>
            <w:noWrap/>
            <w:vAlign w:val="center"/>
          </w:tcPr>
          <w:p w14:paraId="334BF08F">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highlight w:val="none"/>
                <w:lang w:val="en-US" w:eastAsia="zh-CN" w:bidi="ar-SA"/>
              </w:rPr>
            </w:pPr>
            <w:r>
              <w:rPr>
                <w:rFonts w:hint="eastAsia" w:ascii="仿宋_GB2312" w:hAnsi="仿宋_GB2312" w:eastAsia="仿宋_GB2312" w:cs="仿宋_GB2312"/>
                <w:color w:val="auto"/>
                <w:kern w:val="0"/>
                <w:sz w:val="20"/>
                <w:szCs w:val="20"/>
                <w:highlight w:val="none"/>
                <w:lang w:val="en-US" w:eastAsia="zh-CN" w:bidi="ar-SA"/>
              </w:rPr>
              <w:t>雕像及文物表面</w:t>
            </w:r>
          </w:p>
        </w:tc>
        <w:tc>
          <w:tcPr>
            <w:tcW w:w="2535" w:type="dxa"/>
            <w:noWrap/>
            <w:vAlign w:val="center"/>
          </w:tcPr>
          <w:p w14:paraId="6444E52C">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highlight w:val="none"/>
                <w:lang w:val="en-US" w:eastAsia="zh-CN" w:bidi="ar-SA"/>
              </w:rPr>
            </w:pPr>
            <w:r>
              <w:rPr>
                <w:rFonts w:hint="eastAsia" w:ascii="仿宋_GB2312" w:hAnsi="仿宋_GB2312" w:eastAsia="仿宋_GB2312" w:cs="仿宋_GB2312"/>
                <w:color w:val="auto"/>
                <w:kern w:val="0"/>
                <w:sz w:val="20"/>
                <w:szCs w:val="20"/>
                <w:highlight w:val="none"/>
                <w:lang w:val="en-US" w:eastAsia="zh-CN" w:bidi="ar-SA"/>
              </w:rPr>
              <w:t>1次/日，清洗</w:t>
            </w:r>
          </w:p>
        </w:tc>
        <w:tc>
          <w:tcPr>
            <w:tcW w:w="3248" w:type="dxa"/>
            <w:noWrap/>
            <w:vAlign w:val="center"/>
          </w:tcPr>
          <w:p w14:paraId="37E10215">
            <w:pPr>
              <w:keepNext w:val="0"/>
              <w:keepLines w:val="0"/>
              <w:pageBreakBefore w:val="0"/>
              <w:widowControl w:val="0"/>
              <w:kinsoku/>
              <w:wordWrap/>
              <w:overflowPunct/>
              <w:topLinePunct w:val="0"/>
              <w:autoSpaceDE/>
              <w:autoSpaceDN/>
              <w:bidi w:val="0"/>
              <w:adjustRightInd/>
              <w:spacing w:line="360" w:lineRule="auto"/>
              <w:ind w:firstLine="0" w:firstLineChars="0"/>
              <w:jc w:val="center"/>
              <w:textAlignment w:val="baseline"/>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清洁，无污迹</w:t>
            </w:r>
          </w:p>
        </w:tc>
      </w:tr>
    </w:tbl>
    <w:p w14:paraId="1C5C38B7">
      <w:pPr>
        <w:keepNext w:val="0"/>
        <w:keepLines w:val="0"/>
        <w:pageBreakBefore w:val="0"/>
        <w:widowControl w:val="0"/>
        <w:kinsoku/>
        <w:wordWrap/>
        <w:overflowPunct/>
        <w:topLinePunct w:val="0"/>
        <w:autoSpaceDE/>
        <w:autoSpaceDN/>
        <w:bidi w:val="0"/>
        <w:adjustRightInd/>
        <w:snapToGrid w:val="0"/>
        <w:spacing w:line="360" w:lineRule="auto"/>
        <w:ind w:left="420" w:left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w:t>
      </w:r>
      <w:r>
        <w:rPr>
          <w:rFonts w:hint="eastAsia" w:ascii="仿宋_GB2312" w:hAnsi="仿宋_GB2312" w:eastAsia="仿宋_GB2312" w:cs="仿宋_GB2312"/>
          <w:color w:val="auto"/>
          <w:kern w:val="0"/>
          <w:sz w:val="20"/>
          <w:szCs w:val="20"/>
          <w:lang w:val="en-US" w:eastAsia="zh-CN" w:bidi="ar-SA"/>
        </w:rPr>
        <w:t>二</w:t>
      </w:r>
      <w:r>
        <w:rPr>
          <w:rFonts w:hint="eastAsia" w:ascii="仿宋_GB2312" w:hAnsi="仿宋_GB2312" w:eastAsia="仿宋_GB2312" w:cs="仿宋_GB2312"/>
          <w:color w:val="auto"/>
          <w:kern w:val="0"/>
          <w:sz w:val="20"/>
          <w:szCs w:val="20"/>
          <w:lang w:val="zh-CN" w:eastAsia="zh-CN" w:bidi="ar-SA"/>
        </w:rPr>
        <w:t>）保洁作业原则</w:t>
      </w:r>
    </w:p>
    <w:p w14:paraId="52C3CD30">
      <w:pPr>
        <w:keepNext w:val="0"/>
        <w:keepLines w:val="0"/>
        <w:pageBreakBefore w:val="0"/>
        <w:widowControl w:val="0"/>
        <w:kinsoku/>
        <w:wordWrap/>
        <w:overflowPunct/>
        <w:topLinePunct w:val="0"/>
        <w:autoSpaceDE/>
        <w:autoSpaceDN/>
        <w:bidi w:val="0"/>
        <w:adjustRightInd/>
        <w:snapToGrid w:val="0"/>
        <w:spacing w:line="360" w:lineRule="auto"/>
        <w:ind w:left="420" w:leftChars="20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（1）先检查后作业的原则，即：在开展作业前，应先对拟清洁区域内的设施，物品及环境的脏污程度进行察看，以全面掌握区域内的卫生等级状况。</w:t>
      </w:r>
    </w:p>
    <w:p w14:paraId="47348829">
      <w:pPr>
        <w:keepNext w:val="0"/>
        <w:keepLines w:val="0"/>
        <w:pageBreakBefore w:val="0"/>
        <w:widowControl w:val="0"/>
        <w:kinsoku/>
        <w:wordWrap/>
        <w:overflowPunct/>
        <w:topLinePunct w:val="0"/>
        <w:autoSpaceDE/>
        <w:autoSpaceDN/>
        <w:bidi w:val="0"/>
        <w:adjustRightInd/>
        <w:snapToGrid w:val="0"/>
        <w:spacing w:line="360" w:lineRule="auto"/>
        <w:ind w:left="420" w:leftChars="20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（2）实行先重点，后一般的原则，即：首先清扫污染情况较严重的区域，之后再清扫污染情况较轻微的区域。</w:t>
      </w:r>
    </w:p>
    <w:p w14:paraId="1B4AA902">
      <w:pPr>
        <w:keepNext w:val="0"/>
        <w:keepLines w:val="0"/>
        <w:pageBreakBefore w:val="0"/>
        <w:widowControl w:val="0"/>
        <w:kinsoku/>
        <w:wordWrap/>
        <w:overflowPunct/>
        <w:topLinePunct w:val="0"/>
        <w:autoSpaceDE/>
        <w:autoSpaceDN/>
        <w:bidi w:val="0"/>
        <w:adjustRightInd/>
        <w:snapToGrid w:val="0"/>
        <w:spacing w:line="360" w:lineRule="auto"/>
        <w:ind w:left="420" w:leftChars="20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3）重点区域重点保洁的原则，即：对污染严重的区域，在清洁时间、清洁力度、使用工具和清洗频次等方面应加强，以确保重污染区得到重点清洁；对于保洁情况较好的区域，则应适当减少保洁频率，以实现均衡保洁、重点突出提高保洁效率。</w:t>
      </w:r>
    </w:p>
    <w:p w14:paraId="595AE98E">
      <w:pPr>
        <w:keepNext w:val="0"/>
        <w:keepLines w:val="0"/>
        <w:pageBreakBefore w:val="0"/>
        <w:widowControl w:val="0"/>
        <w:kinsoku/>
        <w:wordWrap/>
        <w:overflowPunct/>
        <w:topLinePunct w:val="0"/>
        <w:autoSpaceDE/>
        <w:autoSpaceDN/>
        <w:bidi w:val="0"/>
        <w:adjustRightInd/>
        <w:snapToGrid w:val="0"/>
        <w:spacing w:line="360" w:lineRule="auto"/>
        <w:ind w:left="420" w:leftChars="20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4）重点巡回保洁的原则，即：按工作流程对相关区域完成规定的清扫保洁作业后，应对易产生污染的区域（如人员进出频次较高、聚集人数较多的通道、公共卫生间等），进行重点巡回保洁，保持良好的环境卫生状况。</w:t>
      </w:r>
    </w:p>
    <w:p w14:paraId="5CB33EE4">
      <w:pPr>
        <w:keepNext w:val="0"/>
        <w:keepLines w:val="0"/>
        <w:pageBreakBefore w:val="0"/>
        <w:widowControl w:val="0"/>
        <w:kinsoku/>
        <w:wordWrap/>
        <w:overflowPunct/>
        <w:topLinePunct w:val="0"/>
        <w:autoSpaceDE/>
        <w:autoSpaceDN/>
        <w:bidi w:val="0"/>
        <w:adjustRightInd/>
        <w:snapToGrid w:val="0"/>
        <w:spacing w:line="360" w:lineRule="auto"/>
        <w:ind w:left="0" w:leftChars="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w:t>
      </w:r>
      <w:r>
        <w:rPr>
          <w:rFonts w:hint="eastAsia" w:ascii="仿宋_GB2312" w:hAnsi="仿宋_GB2312" w:eastAsia="仿宋_GB2312" w:cs="仿宋_GB2312"/>
          <w:color w:val="auto"/>
          <w:kern w:val="0"/>
          <w:sz w:val="20"/>
          <w:szCs w:val="20"/>
          <w:lang w:val="en-US" w:eastAsia="zh-CN" w:bidi="ar-SA"/>
        </w:rPr>
        <w:t>三</w:t>
      </w:r>
      <w:r>
        <w:rPr>
          <w:rFonts w:hint="eastAsia" w:ascii="仿宋_GB2312" w:hAnsi="仿宋_GB2312" w:eastAsia="仿宋_GB2312" w:cs="仿宋_GB2312"/>
          <w:color w:val="auto"/>
          <w:kern w:val="0"/>
          <w:sz w:val="20"/>
          <w:szCs w:val="20"/>
          <w:lang w:val="zh-CN" w:eastAsia="zh-CN" w:bidi="ar-SA"/>
        </w:rPr>
        <w:t>）常规保洁作业流程标准</w:t>
      </w:r>
    </w:p>
    <w:p w14:paraId="5366E394">
      <w:pPr>
        <w:keepNext w:val="0"/>
        <w:keepLines w:val="0"/>
        <w:pageBreakBefore w:val="0"/>
        <w:widowControl w:val="0"/>
        <w:kinsoku/>
        <w:wordWrap/>
        <w:overflowPunct/>
        <w:topLinePunct w:val="0"/>
        <w:autoSpaceDE/>
        <w:autoSpaceDN/>
        <w:bidi w:val="0"/>
        <w:adjustRightInd/>
        <w:snapToGrid w:val="0"/>
        <w:spacing w:line="360" w:lineRule="auto"/>
        <w:ind w:left="420" w:leftChars="20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（1）外围地面的清扫保洁程序</w:t>
      </w:r>
    </w:p>
    <w:p w14:paraId="22161B1D">
      <w:pPr>
        <w:keepNext w:val="0"/>
        <w:keepLines w:val="0"/>
        <w:pageBreakBefore w:val="0"/>
        <w:widowControl w:val="0"/>
        <w:kinsoku/>
        <w:wordWrap/>
        <w:overflowPunct/>
        <w:topLinePunct w:val="0"/>
        <w:autoSpaceDE/>
        <w:autoSpaceDN/>
        <w:bidi w:val="0"/>
        <w:adjustRightInd/>
        <w:snapToGrid w:val="0"/>
        <w:spacing w:line="360" w:lineRule="auto"/>
        <w:ind w:left="420" w:leftChars="20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道路清扫保洁质量应落实“六无五净”，即：无堆积物、无果皮纸屑、无砖瓦土石、无污泥积水、无泼洒物、无畜粪物；路面净、道牙净、墙根净、树穴净、雨水口净、达到“道牙无尘，路无杂物，设施整洁，路见本色”的标准。</w:t>
      </w:r>
    </w:p>
    <w:p w14:paraId="16F8D2BE">
      <w:pPr>
        <w:keepNext w:val="0"/>
        <w:keepLines w:val="0"/>
        <w:pageBreakBefore w:val="0"/>
        <w:widowControl w:val="0"/>
        <w:kinsoku/>
        <w:wordWrap/>
        <w:overflowPunct/>
        <w:topLinePunct w:val="0"/>
        <w:autoSpaceDE/>
        <w:autoSpaceDN/>
        <w:bidi w:val="0"/>
        <w:adjustRightInd/>
        <w:snapToGrid w:val="0"/>
        <w:spacing w:line="360" w:lineRule="auto"/>
        <w:ind w:left="0" w:leftChars="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①清洁标准：</w:t>
      </w:r>
    </w:p>
    <w:p w14:paraId="69C2D187">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1）目视地面无杂物，无积水，无明显污渍、泥沙和痰迹。</w:t>
      </w:r>
    </w:p>
    <w:p w14:paraId="64ED80A8">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2）路面垃圾滞留时间不能超过</w:t>
      </w:r>
      <w:r>
        <w:rPr>
          <w:rFonts w:hint="eastAsia" w:ascii="仿宋_GB2312" w:hAnsi="仿宋_GB2312" w:eastAsia="仿宋_GB2312" w:cs="仿宋_GB2312"/>
          <w:color w:val="auto"/>
          <w:kern w:val="0"/>
          <w:sz w:val="20"/>
          <w:szCs w:val="20"/>
          <w:lang w:val="en-US" w:eastAsia="zh-CN" w:bidi="ar-SA"/>
        </w:rPr>
        <w:t>10分钟</w:t>
      </w:r>
      <w:r>
        <w:rPr>
          <w:rFonts w:hint="eastAsia" w:ascii="仿宋_GB2312" w:hAnsi="仿宋_GB2312" w:eastAsia="仿宋_GB2312" w:cs="仿宋_GB2312"/>
          <w:color w:val="auto"/>
          <w:kern w:val="0"/>
          <w:sz w:val="20"/>
          <w:szCs w:val="20"/>
          <w:lang w:val="zh-CN" w:eastAsia="zh-CN" w:bidi="ar-SA"/>
        </w:rPr>
        <w:t>（非工作时间除外）。</w:t>
      </w:r>
    </w:p>
    <w:p w14:paraId="1DE28BB0">
      <w:pPr>
        <w:keepNext w:val="0"/>
        <w:keepLines w:val="0"/>
        <w:pageBreakBefore w:val="0"/>
        <w:widowControl w:val="0"/>
        <w:kinsoku/>
        <w:wordWrap/>
        <w:overflowPunct/>
        <w:topLinePunct w:val="0"/>
        <w:autoSpaceDE/>
        <w:autoSpaceDN/>
        <w:bidi w:val="0"/>
        <w:adjustRightInd/>
        <w:snapToGrid w:val="0"/>
        <w:spacing w:line="360" w:lineRule="auto"/>
        <w:ind w:left="0" w:leftChars="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②作业规定及要求：</w:t>
      </w:r>
    </w:p>
    <w:p w14:paraId="4C7C42DF">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1）固定保洁员清扫外围地面。</w:t>
      </w:r>
    </w:p>
    <w:p w14:paraId="1ED70875">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2）外围地面定时清扫；除对主干路段定时清扫外，应安排固定人员进行巡回保洁。</w:t>
      </w:r>
    </w:p>
    <w:p w14:paraId="2B12F864">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3）夏季作业如遇冲洗道路积水时，应先推水，后清扫，垃圾污物及时清运，禁止堆放在雨水井口边。</w:t>
      </w:r>
    </w:p>
    <w:p w14:paraId="6E15522D">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4）遇雨天要带好雨具，做好防雷击、防触电等保护措施，及时将路段积水推净，如遇大雨先将雨水口表面污物扫净，停雨后要及时将雨水推干净，以防风干造成泥垢尘土污染道路环境。</w:t>
      </w:r>
    </w:p>
    <w:p w14:paraId="6A65F55D">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5）遇大风天气要及时收集道路杂物和树木落叶，严禁焚烧树叶和杂物。</w:t>
      </w:r>
    </w:p>
    <w:p w14:paraId="08034241">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6）遇降雪天气，要及时清除主干道和人行道积雪，没有撒过融雪剂的积雪可堆入绿地树穴。</w:t>
      </w:r>
    </w:p>
    <w:p w14:paraId="06F12A35">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7）发现地面有油污及时用清洁剂清洁。</w:t>
      </w:r>
    </w:p>
    <w:p w14:paraId="142E3A6A">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8）用铲刀清除粘在地面的口香胶等杂物。</w:t>
      </w:r>
    </w:p>
    <w:p w14:paraId="5C2C02B3">
      <w:pPr>
        <w:keepNext w:val="0"/>
        <w:keepLines w:val="0"/>
        <w:pageBreakBefore w:val="0"/>
        <w:widowControl w:val="0"/>
        <w:kinsoku/>
        <w:wordWrap/>
        <w:overflowPunct/>
        <w:topLinePunct w:val="0"/>
        <w:autoSpaceDE/>
        <w:autoSpaceDN/>
        <w:bidi w:val="0"/>
        <w:adjustRightInd/>
        <w:snapToGrid w:val="0"/>
        <w:spacing w:line="360" w:lineRule="auto"/>
        <w:ind w:left="0" w:leftChars="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③除雪作业要求</w:t>
      </w:r>
    </w:p>
    <w:p w14:paraId="3289E1B0">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1）按照清雪预案，完成融雪剂和扫雪工具的准备工作。</w:t>
      </w:r>
    </w:p>
    <w:p w14:paraId="07FD5030">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2）出现雪情后，需在20分钟内启动除雪工作。积极动用一切机械进行除雪作业，合理利用雪资源，减少融雪带来的污染和危害。清除积雪时严禁抛洒工业用盐，应使用环保型融雪剂。</w:t>
      </w:r>
    </w:p>
    <w:p w14:paraId="518CE6F9">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3）机械推雪推不到的路段，应安排人工及时清理积雪。</w:t>
      </w:r>
    </w:p>
    <w:p w14:paraId="58F902B1">
      <w:pPr>
        <w:keepNext w:val="0"/>
        <w:keepLines w:val="0"/>
        <w:pageBreakBefore w:val="0"/>
        <w:widowControl w:val="0"/>
        <w:kinsoku/>
        <w:wordWrap/>
        <w:overflowPunct/>
        <w:topLinePunct w:val="0"/>
        <w:autoSpaceDE/>
        <w:autoSpaceDN/>
        <w:bidi w:val="0"/>
        <w:adjustRightInd/>
        <w:snapToGrid w:val="0"/>
        <w:spacing w:line="360" w:lineRule="auto"/>
        <w:ind w:left="0" w:leftChars="0"/>
        <w:jc w:val="both"/>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zh-CN" w:eastAsia="zh-CN" w:bidi="ar-SA"/>
        </w:rPr>
        <w:t>④公共卫生间</w:t>
      </w:r>
      <w:r>
        <w:rPr>
          <w:rFonts w:hint="eastAsia" w:ascii="仿宋_GB2312" w:hAnsi="仿宋_GB2312" w:eastAsia="仿宋_GB2312" w:cs="仿宋_GB2312"/>
          <w:color w:val="auto"/>
          <w:kern w:val="0"/>
          <w:sz w:val="20"/>
          <w:szCs w:val="20"/>
          <w:lang w:val="en-US" w:eastAsia="zh-CN" w:bidi="ar-SA"/>
        </w:rPr>
        <w:t>清洁要求：</w:t>
      </w:r>
    </w:p>
    <w:p w14:paraId="5F36C8E6">
      <w:pPr>
        <w:keepNext w:val="0"/>
        <w:keepLines w:val="0"/>
        <w:pageBreakBefore w:val="0"/>
        <w:widowControl w:val="0"/>
        <w:numPr>
          <w:ilvl w:val="0"/>
          <w:numId w:val="1"/>
        </w:numPr>
        <w:kinsoku/>
        <w:wordWrap/>
        <w:overflowPunct/>
        <w:topLinePunct w:val="0"/>
        <w:autoSpaceDE/>
        <w:autoSpaceDN/>
        <w:bidi w:val="0"/>
        <w:adjustRightInd/>
        <w:snapToGrid w:val="0"/>
        <w:spacing w:line="360" w:lineRule="auto"/>
        <w:ind w:left="0" w:leftChars="0" w:firstLine="400" w:firstLineChars="200"/>
        <w:jc w:val="both"/>
        <w:textAlignment w:val="auto"/>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公共厕所内采光、照明和通风应良好，无明显臭味。</w:t>
      </w:r>
    </w:p>
    <w:p w14:paraId="7DBA3407">
      <w:pPr>
        <w:keepNext w:val="0"/>
        <w:keepLines w:val="0"/>
        <w:pageBreakBefore w:val="0"/>
        <w:widowControl w:val="0"/>
        <w:numPr>
          <w:ilvl w:val="0"/>
          <w:numId w:val="1"/>
        </w:numPr>
        <w:kinsoku/>
        <w:wordWrap/>
        <w:overflowPunct/>
        <w:topLinePunct w:val="0"/>
        <w:autoSpaceDE/>
        <w:autoSpaceDN/>
        <w:bidi w:val="0"/>
        <w:adjustRightInd/>
        <w:snapToGrid w:val="0"/>
        <w:spacing w:line="360" w:lineRule="auto"/>
        <w:ind w:left="0" w:leftChars="0" w:firstLine="400" w:firstLineChars="200"/>
        <w:jc w:val="both"/>
        <w:textAlignment w:val="auto"/>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公共厕所内墙面、天花板、门窗和隔离板无积灰污迹、蛛网，无乱涂乱画、无乱贴，墙面光洁外墙面整洁。</w:t>
      </w:r>
    </w:p>
    <w:p w14:paraId="7465F825">
      <w:pPr>
        <w:keepNext w:val="0"/>
        <w:keepLines w:val="0"/>
        <w:pageBreakBefore w:val="0"/>
        <w:widowControl w:val="0"/>
        <w:numPr>
          <w:ilvl w:val="0"/>
          <w:numId w:val="1"/>
        </w:numPr>
        <w:kinsoku/>
        <w:wordWrap/>
        <w:overflowPunct/>
        <w:topLinePunct w:val="0"/>
        <w:autoSpaceDE/>
        <w:autoSpaceDN/>
        <w:bidi w:val="0"/>
        <w:adjustRightInd/>
        <w:snapToGrid w:val="0"/>
        <w:spacing w:line="360" w:lineRule="auto"/>
        <w:ind w:left="0" w:leftChars="0" w:firstLine="400" w:firstLineChars="200"/>
        <w:jc w:val="both"/>
        <w:textAlignment w:val="auto"/>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公共厕所内地面光洁，无积水，无泥土、无粪便无尿碱。</w:t>
      </w:r>
    </w:p>
    <w:p w14:paraId="4F3393A0">
      <w:pPr>
        <w:keepNext w:val="0"/>
        <w:keepLines w:val="0"/>
        <w:pageBreakBefore w:val="0"/>
        <w:widowControl w:val="0"/>
        <w:numPr>
          <w:ilvl w:val="0"/>
          <w:numId w:val="1"/>
        </w:numPr>
        <w:kinsoku/>
        <w:wordWrap/>
        <w:overflowPunct/>
        <w:topLinePunct w:val="0"/>
        <w:autoSpaceDE/>
        <w:autoSpaceDN/>
        <w:bidi w:val="0"/>
        <w:adjustRightInd/>
        <w:snapToGrid w:val="0"/>
        <w:spacing w:line="360" w:lineRule="auto"/>
        <w:ind w:left="0" w:leftChars="0" w:firstLine="400" w:firstLineChars="200"/>
        <w:jc w:val="both"/>
        <w:textAlignment w:val="auto"/>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蹲位整洁，大便槽两侧无粪便污物，槽内无积累；洁净见底。</w:t>
      </w:r>
    </w:p>
    <w:p w14:paraId="700F4399">
      <w:pPr>
        <w:keepNext w:val="0"/>
        <w:keepLines w:val="0"/>
        <w:pageBreakBefore w:val="0"/>
        <w:widowControl w:val="0"/>
        <w:numPr>
          <w:ilvl w:val="0"/>
          <w:numId w:val="1"/>
        </w:numPr>
        <w:kinsoku/>
        <w:wordWrap/>
        <w:overflowPunct/>
        <w:topLinePunct w:val="0"/>
        <w:autoSpaceDE/>
        <w:autoSpaceDN/>
        <w:bidi w:val="0"/>
        <w:adjustRightInd/>
        <w:snapToGrid w:val="0"/>
        <w:spacing w:line="360" w:lineRule="auto"/>
        <w:ind w:left="0" w:leftChars="0" w:firstLine="400" w:firstLineChars="200"/>
        <w:jc w:val="both"/>
        <w:textAlignment w:val="auto"/>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小便槽[斗] 无水锈、尿垢、垃圾，基本无臭;沟眼、管道保持畅通。</w:t>
      </w:r>
    </w:p>
    <w:p w14:paraId="3556E5D3">
      <w:pPr>
        <w:keepNext w:val="0"/>
        <w:keepLines w:val="0"/>
        <w:pageBreakBefore w:val="0"/>
        <w:widowControl w:val="0"/>
        <w:numPr>
          <w:ilvl w:val="0"/>
          <w:numId w:val="1"/>
        </w:numPr>
        <w:kinsoku/>
        <w:wordWrap/>
        <w:overflowPunct/>
        <w:topLinePunct w:val="0"/>
        <w:autoSpaceDE/>
        <w:autoSpaceDN/>
        <w:bidi w:val="0"/>
        <w:adjustRightInd/>
        <w:snapToGrid w:val="0"/>
        <w:spacing w:line="360" w:lineRule="auto"/>
        <w:ind w:left="0" w:leftChars="0" w:firstLine="400" w:firstLineChars="200"/>
        <w:jc w:val="both"/>
        <w:textAlignment w:val="auto"/>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公共厕所内照明灯具、洗手器具、镜子、挂衣钩烘手器、冲水设备完好，无积灰、污物 窗纱无尘埃、破损。</w:t>
      </w:r>
    </w:p>
    <w:p w14:paraId="69503CAA">
      <w:pPr>
        <w:keepNext w:val="0"/>
        <w:keepLines w:val="0"/>
        <w:pageBreakBefore w:val="0"/>
        <w:widowControl w:val="0"/>
        <w:numPr>
          <w:ilvl w:val="0"/>
          <w:numId w:val="1"/>
        </w:numPr>
        <w:kinsoku/>
        <w:wordWrap/>
        <w:overflowPunct/>
        <w:topLinePunct w:val="0"/>
        <w:autoSpaceDE/>
        <w:autoSpaceDN/>
        <w:bidi w:val="0"/>
        <w:adjustRightInd/>
        <w:snapToGrid w:val="0"/>
        <w:spacing w:line="360" w:lineRule="auto"/>
        <w:ind w:left="0" w:leftChars="0" w:firstLine="400" w:firstLineChars="200"/>
        <w:jc w:val="both"/>
        <w:textAlignment w:val="auto"/>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公共厕所外环境整洁，无乱堆杂物，保洁工具设置整齐，无乱搭建和拉绳，公厕四周3至5米范围内，无垃圾、粪便尿迹等污物。</w:t>
      </w:r>
    </w:p>
    <w:p w14:paraId="1121376B">
      <w:pPr>
        <w:keepNext w:val="0"/>
        <w:keepLines w:val="0"/>
        <w:pageBreakBefore w:val="0"/>
        <w:widowControl w:val="0"/>
        <w:numPr>
          <w:ilvl w:val="0"/>
          <w:numId w:val="1"/>
        </w:numPr>
        <w:kinsoku/>
        <w:wordWrap/>
        <w:overflowPunct/>
        <w:topLinePunct w:val="0"/>
        <w:autoSpaceDE/>
        <w:autoSpaceDN/>
        <w:bidi w:val="0"/>
        <w:adjustRightInd/>
        <w:snapToGrid w:val="0"/>
        <w:spacing w:line="360" w:lineRule="auto"/>
        <w:ind w:left="0" w:leftChars="0" w:firstLine="400" w:firstLineChars="200"/>
        <w:jc w:val="both"/>
        <w:textAlignment w:val="auto"/>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蚊蝇滋生季节应定时喷洒蚊蝇药物或安装防蝇设备，有效控制蚊蝇。</w:t>
      </w:r>
    </w:p>
    <w:p w14:paraId="277BD457">
      <w:pPr>
        <w:keepNext w:val="0"/>
        <w:keepLines w:val="0"/>
        <w:pageBreakBefore w:val="0"/>
        <w:widowControl w:val="0"/>
        <w:numPr>
          <w:ilvl w:val="0"/>
          <w:numId w:val="1"/>
        </w:numPr>
        <w:kinsoku/>
        <w:wordWrap/>
        <w:overflowPunct/>
        <w:topLinePunct w:val="0"/>
        <w:autoSpaceDE/>
        <w:autoSpaceDN/>
        <w:bidi w:val="0"/>
        <w:adjustRightInd/>
        <w:snapToGrid w:val="0"/>
        <w:spacing w:line="360" w:lineRule="auto"/>
        <w:ind w:left="0" w:leftChars="0" w:firstLine="400" w:firstLineChars="200"/>
        <w:jc w:val="both"/>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lang w:val="en-US" w:eastAsia="zh-CN" w:bidi="ar-SA"/>
        </w:rPr>
        <w:t>公共厕所卫生质控指标应符合以下规定：</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5"/>
        <w:gridCol w:w="2290"/>
        <w:gridCol w:w="5097"/>
      </w:tblGrid>
      <w:tr w14:paraId="6E07E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vAlign w:val="center"/>
          </w:tcPr>
          <w:p w14:paraId="1BE616A4">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序号</w:t>
            </w:r>
          </w:p>
        </w:tc>
        <w:tc>
          <w:tcPr>
            <w:tcW w:w="2290" w:type="dxa"/>
            <w:vAlign w:val="center"/>
          </w:tcPr>
          <w:p w14:paraId="035BFB4C">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卫生指标</w:t>
            </w:r>
          </w:p>
        </w:tc>
        <w:tc>
          <w:tcPr>
            <w:tcW w:w="5097" w:type="dxa"/>
            <w:vAlign w:val="center"/>
          </w:tcPr>
          <w:p w14:paraId="08770776">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要求</w:t>
            </w:r>
          </w:p>
        </w:tc>
      </w:tr>
      <w:tr w14:paraId="77FB2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vAlign w:val="center"/>
          </w:tcPr>
          <w:p w14:paraId="29788FC8">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1</w:t>
            </w:r>
          </w:p>
        </w:tc>
        <w:tc>
          <w:tcPr>
            <w:tcW w:w="2290" w:type="dxa"/>
            <w:vAlign w:val="center"/>
          </w:tcPr>
          <w:p w14:paraId="1FEF899D">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纸片</w:t>
            </w:r>
          </w:p>
        </w:tc>
        <w:tc>
          <w:tcPr>
            <w:tcW w:w="5097" w:type="dxa"/>
            <w:vAlign w:val="center"/>
          </w:tcPr>
          <w:p w14:paraId="5A5E235D">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不能有</w:t>
            </w:r>
          </w:p>
        </w:tc>
      </w:tr>
      <w:tr w14:paraId="440C8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vAlign w:val="center"/>
          </w:tcPr>
          <w:p w14:paraId="7AAFBE8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2</w:t>
            </w:r>
          </w:p>
        </w:tc>
        <w:tc>
          <w:tcPr>
            <w:tcW w:w="2290" w:type="dxa"/>
            <w:vAlign w:val="center"/>
          </w:tcPr>
          <w:p w14:paraId="578CCE01">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烟蒂</w:t>
            </w:r>
          </w:p>
        </w:tc>
        <w:tc>
          <w:tcPr>
            <w:tcW w:w="5097" w:type="dxa"/>
            <w:vAlign w:val="center"/>
          </w:tcPr>
          <w:p w14:paraId="5E4D8567">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rPr>
            </w:pPr>
            <w:r>
              <w:rPr>
                <w:rFonts w:hint="eastAsia" w:ascii="仿宋_GB2312" w:hAnsi="仿宋_GB2312" w:eastAsia="仿宋_GB2312" w:cs="仿宋_GB2312"/>
                <w:color w:val="auto"/>
                <w:kern w:val="0"/>
                <w:sz w:val="20"/>
                <w:szCs w:val="20"/>
                <w:vertAlign w:val="baseline"/>
                <w:lang w:val="en-US" w:eastAsia="zh-CN"/>
              </w:rPr>
              <w:t>不能有</w:t>
            </w:r>
          </w:p>
        </w:tc>
      </w:tr>
      <w:tr w14:paraId="31C56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vAlign w:val="center"/>
          </w:tcPr>
          <w:p w14:paraId="30240188">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3</w:t>
            </w:r>
          </w:p>
        </w:tc>
        <w:tc>
          <w:tcPr>
            <w:tcW w:w="2290" w:type="dxa"/>
            <w:vAlign w:val="center"/>
          </w:tcPr>
          <w:p w14:paraId="28221FC1">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痰、粪迹</w:t>
            </w:r>
          </w:p>
        </w:tc>
        <w:tc>
          <w:tcPr>
            <w:tcW w:w="5097" w:type="dxa"/>
            <w:vAlign w:val="center"/>
          </w:tcPr>
          <w:p w14:paraId="19F332FF">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rPr>
            </w:pPr>
            <w:r>
              <w:rPr>
                <w:rFonts w:hint="eastAsia" w:ascii="仿宋_GB2312" w:hAnsi="仿宋_GB2312" w:eastAsia="仿宋_GB2312" w:cs="仿宋_GB2312"/>
                <w:color w:val="auto"/>
                <w:kern w:val="0"/>
                <w:sz w:val="20"/>
                <w:szCs w:val="20"/>
                <w:vertAlign w:val="baseline"/>
                <w:lang w:val="en-US" w:eastAsia="zh-CN"/>
              </w:rPr>
              <w:t>不能有</w:t>
            </w:r>
          </w:p>
        </w:tc>
      </w:tr>
      <w:tr w14:paraId="0098A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vAlign w:val="center"/>
          </w:tcPr>
          <w:p w14:paraId="5B01EDD4">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4</w:t>
            </w:r>
          </w:p>
        </w:tc>
        <w:tc>
          <w:tcPr>
            <w:tcW w:w="2290" w:type="dxa"/>
            <w:vAlign w:val="center"/>
          </w:tcPr>
          <w:p w14:paraId="407BD866">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jc w:val="center"/>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窗格积灰</w:t>
            </w:r>
          </w:p>
        </w:tc>
        <w:tc>
          <w:tcPr>
            <w:tcW w:w="5097" w:type="dxa"/>
            <w:vAlign w:val="center"/>
          </w:tcPr>
          <w:p w14:paraId="4374F9F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rPr>
            </w:pPr>
            <w:r>
              <w:rPr>
                <w:rFonts w:hint="eastAsia" w:ascii="仿宋_GB2312" w:hAnsi="仿宋_GB2312" w:eastAsia="仿宋_GB2312" w:cs="仿宋_GB2312"/>
                <w:color w:val="auto"/>
                <w:kern w:val="0"/>
                <w:sz w:val="20"/>
                <w:szCs w:val="20"/>
                <w:vertAlign w:val="baseline"/>
                <w:lang w:val="en-US" w:eastAsia="zh-CN"/>
              </w:rPr>
              <w:t>不能有</w:t>
            </w:r>
          </w:p>
        </w:tc>
      </w:tr>
      <w:tr w14:paraId="18242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vAlign w:val="center"/>
          </w:tcPr>
          <w:p w14:paraId="3E9A48A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5</w:t>
            </w:r>
          </w:p>
        </w:tc>
        <w:tc>
          <w:tcPr>
            <w:tcW w:w="2290" w:type="dxa"/>
            <w:vAlign w:val="center"/>
          </w:tcPr>
          <w:p w14:paraId="4A1260AF">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jc w:val="center"/>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蜘蛛网</w:t>
            </w:r>
          </w:p>
        </w:tc>
        <w:tc>
          <w:tcPr>
            <w:tcW w:w="5097" w:type="dxa"/>
            <w:vAlign w:val="center"/>
          </w:tcPr>
          <w:p w14:paraId="7ED6F3C6">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rPr>
            </w:pPr>
            <w:r>
              <w:rPr>
                <w:rFonts w:hint="eastAsia" w:ascii="仿宋_GB2312" w:hAnsi="仿宋_GB2312" w:eastAsia="仿宋_GB2312" w:cs="仿宋_GB2312"/>
                <w:color w:val="auto"/>
                <w:kern w:val="0"/>
                <w:sz w:val="20"/>
                <w:szCs w:val="20"/>
                <w:vertAlign w:val="baseline"/>
                <w:lang w:val="en-US" w:eastAsia="zh-CN"/>
              </w:rPr>
              <w:t>不能有</w:t>
            </w:r>
          </w:p>
        </w:tc>
      </w:tr>
      <w:tr w14:paraId="6BDF7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vAlign w:val="center"/>
          </w:tcPr>
          <w:p w14:paraId="5AA8BC88">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6</w:t>
            </w:r>
          </w:p>
        </w:tc>
        <w:tc>
          <w:tcPr>
            <w:tcW w:w="2290" w:type="dxa"/>
            <w:vAlign w:val="center"/>
          </w:tcPr>
          <w:p w14:paraId="2B0D4DFC">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蚊虫</w:t>
            </w:r>
          </w:p>
        </w:tc>
        <w:tc>
          <w:tcPr>
            <w:tcW w:w="5097" w:type="dxa"/>
            <w:vAlign w:val="center"/>
          </w:tcPr>
          <w:p w14:paraId="21D3173B">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rPr>
            </w:pPr>
            <w:r>
              <w:rPr>
                <w:rFonts w:hint="eastAsia" w:ascii="仿宋_GB2312" w:hAnsi="仿宋_GB2312" w:eastAsia="仿宋_GB2312" w:cs="仿宋_GB2312"/>
                <w:color w:val="auto"/>
                <w:kern w:val="0"/>
                <w:sz w:val="20"/>
                <w:szCs w:val="20"/>
                <w:vertAlign w:val="baseline"/>
                <w:lang w:val="en-US" w:eastAsia="zh-CN"/>
              </w:rPr>
              <w:t>不能有</w:t>
            </w:r>
          </w:p>
        </w:tc>
      </w:tr>
      <w:tr w14:paraId="35E77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1135" w:type="dxa"/>
            <w:vMerge w:val="restart"/>
            <w:vAlign w:val="center"/>
          </w:tcPr>
          <w:p w14:paraId="23AB1828">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7</w:t>
            </w:r>
          </w:p>
        </w:tc>
        <w:tc>
          <w:tcPr>
            <w:tcW w:w="2290" w:type="dxa"/>
            <w:vMerge w:val="restart"/>
            <w:vAlign w:val="center"/>
          </w:tcPr>
          <w:p w14:paraId="14884573">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苍蝇</w:t>
            </w:r>
          </w:p>
        </w:tc>
        <w:tc>
          <w:tcPr>
            <w:tcW w:w="5097" w:type="dxa"/>
            <w:vAlign w:val="center"/>
          </w:tcPr>
          <w:p w14:paraId="291187A8">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不能有</w:t>
            </w:r>
          </w:p>
        </w:tc>
      </w:tr>
      <w:tr w14:paraId="098F5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1135" w:type="dxa"/>
            <w:vMerge w:val="continue"/>
            <w:vAlign w:val="center"/>
          </w:tcPr>
          <w:p w14:paraId="5ADA3D66">
            <w:pPr>
              <w:keepNext w:val="0"/>
              <w:keepLines w:val="0"/>
              <w:pageBreakBefore w:val="0"/>
              <w:widowControl w:val="0"/>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2"/>
                <w:sz w:val="20"/>
                <w:szCs w:val="20"/>
                <w:lang w:val="en-US" w:eastAsia="zh-CN" w:bidi="ar-SA"/>
              </w:rPr>
            </w:pPr>
          </w:p>
        </w:tc>
        <w:tc>
          <w:tcPr>
            <w:tcW w:w="2290" w:type="dxa"/>
            <w:vMerge w:val="continue"/>
            <w:vAlign w:val="center"/>
          </w:tcPr>
          <w:p w14:paraId="7324F9C5">
            <w:pPr>
              <w:keepNext w:val="0"/>
              <w:keepLines w:val="0"/>
              <w:pageBreakBefore w:val="0"/>
              <w:widowControl w:val="0"/>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2"/>
                <w:sz w:val="20"/>
                <w:szCs w:val="20"/>
                <w:lang w:val="en-US" w:eastAsia="zh-CN" w:bidi="ar-SA"/>
              </w:rPr>
            </w:pPr>
          </w:p>
        </w:tc>
        <w:tc>
          <w:tcPr>
            <w:tcW w:w="5097" w:type="dxa"/>
            <w:vAlign w:val="center"/>
          </w:tcPr>
          <w:p w14:paraId="25B24573">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不得</w:t>
            </w:r>
            <w:r>
              <w:rPr>
                <w:rFonts w:hint="eastAsia" w:ascii="仿宋_GB2312" w:hAnsi="仿宋_GB2312" w:eastAsia="仿宋_GB2312" w:cs="仿宋_GB2312"/>
                <w:color w:val="auto"/>
                <w:kern w:val="0"/>
                <w:sz w:val="20"/>
                <w:szCs w:val="20"/>
                <w:highlight w:val="none"/>
                <w:vertAlign w:val="baseline"/>
                <w:lang w:val="en-US" w:eastAsia="zh-CN" w:bidi="ar-SA"/>
              </w:rPr>
              <w:t>多于</w:t>
            </w:r>
            <w:r>
              <w:rPr>
                <w:rFonts w:hint="eastAsia" w:ascii="仿宋_GB2312" w:hAnsi="仿宋_GB2312" w:eastAsia="仿宋_GB2312" w:cs="仿宋_GB2312"/>
                <w:color w:val="auto"/>
                <w:kern w:val="0"/>
                <w:sz w:val="20"/>
                <w:szCs w:val="20"/>
                <w:vertAlign w:val="baseline"/>
                <w:lang w:val="en-US" w:eastAsia="zh-CN" w:bidi="ar-SA"/>
              </w:rPr>
              <w:t>3只</w:t>
            </w:r>
          </w:p>
        </w:tc>
      </w:tr>
      <w:tr w14:paraId="519AF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vAlign w:val="center"/>
          </w:tcPr>
          <w:p w14:paraId="746C0FD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8</w:t>
            </w:r>
          </w:p>
        </w:tc>
        <w:tc>
          <w:tcPr>
            <w:tcW w:w="2290" w:type="dxa"/>
            <w:vAlign w:val="center"/>
          </w:tcPr>
          <w:p w14:paraId="279B609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蝇卵</w:t>
            </w:r>
          </w:p>
        </w:tc>
        <w:tc>
          <w:tcPr>
            <w:tcW w:w="5097" w:type="dxa"/>
            <w:vAlign w:val="center"/>
          </w:tcPr>
          <w:p w14:paraId="3E9D1E4B">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大小便器内外、地面、化粪池周围30-50㎝</w:t>
            </w:r>
            <w:r>
              <w:rPr>
                <w:rFonts w:hint="eastAsia" w:ascii="仿宋_GB2312" w:hAnsi="仿宋_GB2312" w:eastAsia="仿宋_GB2312" w:cs="仿宋_GB2312"/>
                <w:color w:val="auto"/>
                <w:kern w:val="0"/>
                <w:sz w:val="20"/>
                <w:szCs w:val="20"/>
                <w:highlight w:val="none"/>
                <w:vertAlign w:val="baseline"/>
                <w:lang w:val="en-US" w:eastAsia="zh-CN" w:bidi="ar-SA"/>
              </w:rPr>
              <w:t>肉眼不可见</w:t>
            </w:r>
          </w:p>
        </w:tc>
      </w:tr>
      <w:tr w14:paraId="37697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vAlign w:val="center"/>
          </w:tcPr>
          <w:p w14:paraId="1F345A8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9</w:t>
            </w:r>
          </w:p>
        </w:tc>
        <w:tc>
          <w:tcPr>
            <w:tcW w:w="2290" w:type="dxa"/>
            <w:vAlign w:val="center"/>
          </w:tcPr>
          <w:p w14:paraId="18DE9F71">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臭味程度</w:t>
            </w:r>
          </w:p>
        </w:tc>
        <w:tc>
          <w:tcPr>
            <w:tcW w:w="5097" w:type="dxa"/>
            <w:vAlign w:val="center"/>
          </w:tcPr>
          <w:p w14:paraId="1026566D">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center"/>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臭味程度≤1</w:t>
            </w:r>
          </w:p>
        </w:tc>
      </w:tr>
      <w:tr w14:paraId="5128A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vAlign w:val="center"/>
          </w:tcPr>
          <w:p w14:paraId="38768544">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jc w:val="left"/>
              <w:textAlignment w:val="auto"/>
              <w:rPr>
                <w:rFonts w:hint="eastAsia" w:ascii="仿宋_GB2312" w:hAnsi="仿宋_GB2312" w:eastAsia="仿宋_GB2312" w:cs="仿宋_GB2312"/>
                <w:color w:val="auto"/>
                <w:kern w:val="0"/>
                <w:sz w:val="20"/>
                <w:szCs w:val="20"/>
                <w:vertAlign w:val="baseline"/>
                <w:lang w:val="en-US" w:eastAsia="zh-CN" w:bidi="ar-SA"/>
              </w:rPr>
            </w:pPr>
            <w:r>
              <w:rPr>
                <w:rFonts w:hint="eastAsia" w:ascii="仿宋_GB2312" w:hAnsi="仿宋_GB2312" w:eastAsia="仿宋_GB2312" w:cs="仿宋_GB2312"/>
                <w:color w:val="auto"/>
                <w:kern w:val="0"/>
                <w:sz w:val="20"/>
                <w:szCs w:val="20"/>
                <w:vertAlign w:val="baseline"/>
                <w:lang w:val="en-US" w:eastAsia="zh-CN" w:bidi="ar-SA"/>
              </w:rPr>
              <w:t>备注：臭味程度指人们通过嗅觉的气味程度，0级为无臭、1级为勉强能闻到臭味、2级为稍微可闻出的臭味、3级为极易感觉臭味存在、4级为强烈的气味、5级为无法忍受的极强气味。</w:t>
            </w:r>
          </w:p>
        </w:tc>
      </w:tr>
    </w:tbl>
    <w:p w14:paraId="1A32B79F">
      <w:pPr>
        <w:keepNext w:val="0"/>
        <w:keepLines w:val="0"/>
        <w:pageBreakBefore w:val="0"/>
        <w:widowControl w:val="0"/>
        <w:kinsoku/>
        <w:wordWrap/>
        <w:overflowPunct/>
        <w:topLinePunct w:val="0"/>
        <w:autoSpaceDE/>
        <w:autoSpaceDN/>
        <w:bidi w:val="0"/>
        <w:adjustRightInd/>
        <w:snapToGrid w:val="0"/>
        <w:spacing w:line="360" w:lineRule="auto"/>
        <w:ind w:left="0" w:leftChars="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 xml:space="preserve"> ⑤注意事项：</w:t>
      </w:r>
    </w:p>
    <w:p w14:paraId="53276AB2">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1）在清扫、保洁路面的过程中，应做到保洁工具随人走，不得随地乱放。</w:t>
      </w:r>
    </w:p>
    <w:p w14:paraId="73A48020">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2）扫集成堆的垃圾应及时倒入垃圾车内，不得滞留在路面。</w:t>
      </w:r>
    </w:p>
    <w:p w14:paraId="4B176FE4">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3）工作操作中，遇见客人咨询或其他类似情况，交谈时间应控制在5分钟之内，不准在工作时间内与他人闲谈。</w:t>
      </w:r>
    </w:p>
    <w:p w14:paraId="25035C15">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4）道路广场作业时需湿法作业，减少扬尘；不具备湿法作业的地段使用小型清扫工具清扫，尽量避免扬尘。</w:t>
      </w:r>
    </w:p>
    <w:p w14:paraId="60B9CCDA">
      <w:pPr>
        <w:keepNext w:val="0"/>
        <w:keepLines w:val="0"/>
        <w:pageBreakBefore w:val="0"/>
        <w:widowControl w:val="0"/>
        <w:kinsoku/>
        <w:wordWrap/>
        <w:overflowPunct/>
        <w:topLinePunct w:val="0"/>
        <w:autoSpaceDE/>
        <w:autoSpaceDN/>
        <w:bidi w:val="0"/>
        <w:adjustRightInd/>
        <w:snapToGrid w:val="0"/>
        <w:spacing w:line="360" w:lineRule="auto"/>
        <w:ind w:left="0" w:leftChars="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w:t>
      </w:r>
      <w:r>
        <w:rPr>
          <w:rFonts w:hint="eastAsia" w:ascii="仿宋_GB2312" w:hAnsi="仿宋_GB2312" w:eastAsia="仿宋_GB2312" w:cs="仿宋_GB2312"/>
          <w:color w:val="auto"/>
          <w:kern w:val="0"/>
          <w:sz w:val="20"/>
          <w:szCs w:val="20"/>
          <w:lang w:val="en-US" w:eastAsia="zh-CN" w:bidi="ar-SA"/>
        </w:rPr>
        <w:t>四</w:t>
      </w:r>
      <w:r>
        <w:rPr>
          <w:rFonts w:hint="eastAsia" w:ascii="仿宋_GB2312" w:hAnsi="仿宋_GB2312" w:eastAsia="仿宋_GB2312" w:cs="仿宋_GB2312"/>
          <w:color w:val="auto"/>
          <w:kern w:val="0"/>
          <w:sz w:val="20"/>
          <w:szCs w:val="20"/>
          <w:lang w:val="zh-CN" w:eastAsia="zh-CN" w:bidi="ar-SA"/>
        </w:rPr>
        <w:t>）不锈钢制品的清洁、保养</w:t>
      </w:r>
    </w:p>
    <w:p w14:paraId="3B3AC985">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 xml:space="preserve"> 保持奖牌、标识牌、宣传栏、雕塑及其他不锈钢制品表面的清洁，使其不受氧化。作业程序、注意事项如下：</w:t>
      </w:r>
    </w:p>
    <w:p w14:paraId="39CE4AD0">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先用兑有中性清洁剂的溶液抹不锈钢表面，然后用无绒毛巾抹净不锈钢表面的水珠。置少许不锈钢油于毛巾上，对不锈钢表面进行擦拭，或用喷头直接喷在不锈钢表面。然后用无绒毛巾擦拭。目视不锈钢表面无污渍，无灰尘，表面光亮，可映出人影。</w:t>
      </w:r>
    </w:p>
    <w:p w14:paraId="7A9AD4C1">
      <w:pPr>
        <w:keepNext w:val="0"/>
        <w:keepLines w:val="0"/>
        <w:pageBreakBefore w:val="0"/>
        <w:widowControl w:val="0"/>
        <w:kinsoku/>
        <w:wordWrap/>
        <w:overflowPunct/>
        <w:topLinePunct w:val="0"/>
        <w:autoSpaceDE/>
        <w:autoSpaceDN/>
        <w:bidi w:val="0"/>
        <w:adjustRightInd/>
        <w:snapToGrid w:val="0"/>
        <w:spacing w:line="360" w:lineRule="auto"/>
        <w:ind w:left="0" w:leftChars="0" w:firstLine="402" w:firstLineChars="200"/>
        <w:jc w:val="both"/>
        <w:rPr>
          <w:rFonts w:hint="eastAsia" w:ascii="仿宋_GB2312" w:hAnsi="仿宋_GB2312" w:eastAsia="仿宋_GB2312" w:cs="仿宋_GB2312"/>
          <w:b/>
          <w:bCs/>
          <w:color w:val="auto"/>
          <w:kern w:val="0"/>
          <w:sz w:val="20"/>
          <w:szCs w:val="20"/>
          <w:lang w:val="en-US" w:eastAsia="zh-CN" w:bidi="ar-SA"/>
        </w:rPr>
      </w:pPr>
      <w:r>
        <w:rPr>
          <w:rFonts w:hint="eastAsia" w:ascii="仿宋_GB2312" w:hAnsi="仿宋_GB2312" w:eastAsia="仿宋_GB2312" w:cs="仿宋_GB2312"/>
          <w:b/>
          <w:bCs/>
          <w:color w:val="auto"/>
          <w:kern w:val="0"/>
          <w:sz w:val="20"/>
          <w:szCs w:val="20"/>
          <w:lang w:val="en-US" w:eastAsia="zh-CN" w:bidi="ar-SA"/>
        </w:rPr>
        <w:t>注：园区进行一天两扫，全天保洁。</w:t>
      </w:r>
    </w:p>
    <w:p w14:paraId="5A4D27C4">
      <w:pPr>
        <w:keepNext w:val="0"/>
        <w:keepLines w:val="0"/>
        <w:pageBreakBefore w:val="0"/>
        <w:widowControl w:val="0"/>
        <w:kinsoku/>
        <w:wordWrap/>
        <w:overflowPunct/>
        <w:topLinePunct w:val="0"/>
        <w:autoSpaceDE/>
        <w:autoSpaceDN/>
        <w:bidi w:val="0"/>
        <w:adjustRightInd/>
        <w:snapToGrid w:val="0"/>
        <w:spacing w:line="360" w:lineRule="auto"/>
        <w:ind w:left="0" w:leftChars="0"/>
        <w:jc w:val="both"/>
        <w:rPr>
          <w:rFonts w:hint="eastAsia" w:ascii="仿宋_GB2312" w:hAnsi="仿宋_GB2312" w:eastAsia="仿宋_GB2312" w:cs="仿宋_GB2312"/>
          <w:color w:val="auto"/>
          <w:kern w:val="0"/>
          <w:sz w:val="20"/>
          <w:szCs w:val="20"/>
          <w:highlight w:val="magenta"/>
          <w:lang w:val="en-US" w:eastAsia="zh-CN" w:bidi="ar-SA"/>
        </w:rPr>
      </w:pPr>
      <w:r>
        <w:rPr>
          <w:rFonts w:hint="eastAsia" w:ascii="仿宋_GB2312" w:hAnsi="仿宋_GB2312" w:eastAsia="仿宋_GB2312" w:cs="仿宋_GB2312"/>
          <w:color w:val="auto"/>
          <w:kern w:val="0"/>
          <w:sz w:val="20"/>
          <w:szCs w:val="20"/>
          <w:lang w:val="zh-CN" w:eastAsia="zh-CN" w:bidi="ar-SA"/>
        </w:rPr>
        <w:t>（</w:t>
      </w:r>
      <w:r>
        <w:rPr>
          <w:rFonts w:hint="eastAsia" w:ascii="仿宋_GB2312" w:hAnsi="仿宋_GB2312" w:eastAsia="仿宋_GB2312" w:cs="仿宋_GB2312"/>
          <w:color w:val="auto"/>
          <w:kern w:val="0"/>
          <w:sz w:val="20"/>
          <w:szCs w:val="20"/>
          <w:lang w:val="en-US" w:eastAsia="zh-CN" w:bidi="ar-SA"/>
        </w:rPr>
        <w:t>五</w:t>
      </w:r>
      <w:r>
        <w:rPr>
          <w:rFonts w:hint="eastAsia" w:ascii="仿宋_GB2312" w:hAnsi="仿宋_GB2312" w:eastAsia="仿宋_GB2312" w:cs="仿宋_GB2312"/>
          <w:color w:val="auto"/>
          <w:kern w:val="0"/>
          <w:sz w:val="20"/>
          <w:szCs w:val="20"/>
          <w:lang w:val="zh-CN" w:eastAsia="zh-CN" w:bidi="ar-SA"/>
        </w:rPr>
        <w:t>）机械设备要求：（</w:t>
      </w:r>
      <w:r>
        <w:rPr>
          <w:rFonts w:hint="eastAsia" w:ascii="仿宋_GB2312" w:hAnsi="仿宋_GB2312" w:eastAsia="仿宋_GB2312" w:cs="仿宋_GB2312"/>
          <w:color w:val="auto"/>
          <w:kern w:val="0"/>
          <w:sz w:val="20"/>
          <w:szCs w:val="20"/>
          <w:highlight w:val="none"/>
          <w:lang w:val="en-US" w:eastAsia="zh-CN" w:bidi="ar-SA"/>
        </w:rPr>
        <w:t>根据园区实际需要及采购人要求合理设置</w:t>
      </w:r>
      <w:r>
        <w:rPr>
          <w:rFonts w:hint="eastAsia" w:ascii="仿宋_GB2312" w:hAnsi="仿宋_GB2312" w:eastAsia="仿宋_GB2312" w:cs="仿宋_GB2312"/>
          <w:color w:val="auto"/>
          <w:kern w:val="0"/>
          <w:sz w:val="20"/>
          <w:szCs w:val="20"/>
          <w:lang w:val="zh-CN" w:eastAsia="zh-CN" w:bidi="ar-SA"/>
        </w:rPr>
        <w:t>）</w:t>
      </w:r>
    </w:p>
    <w:p w14:paraId="4C01668C">
      <w:pPr>
        <w:keepNext w:val="0"/>
        <w:keepLines w:val="0"/>
        <w:pageBreakBefore w:val="0"/>
        <w:widowControl w:val="0"/>
        <w:kinsoku/>
        <w:wordWrap/>
        <w:overflowPunct/>
        <w:topLinePunct w:val="0"/>
        <w:autoSpaceDE/>
        <w:autoSpaceDN/>
        <w:bidi w:val="0"/>
        <w:adjustRightInd/>
        <w:snapToGrid w:val="0"/>
        <w:spacing w:line="360" w:lineRule="auto"/>
        <w:ind w:left="420" w:leftChars="200"/>
        <w:jc w:val="both"/>
        <w:rPr>
          <w:rFonts w:hint="eastAsia" w:ascii="仿宋_GB2312" w:hAnsi="仿宋_GB2312" w:eastAsia="仿宋_GB2312" w:cs="仿宋_GB2312"/>
          <w:color w:val="auto"/>
          <w:kern w:val="0"/>
          <w:sz w:val="20"/>
          <w:szCs w:val="20"/>
          <w:u w:val="single"/>
          <w:lang w:val="en-US" w:eastAsia="zh-CN" w:bidi="ar-SA"/>
        </w:rPr>
      </w:pPr>
      <w:r>
        <w:rPr>
          <w:rFonts w:hint="eastAsia" w:ascii="仿宋_GB2312" w:hAnsi="仿宋_GB2312" w:eastAsia="仿宋_GB2312" w:cs="仿宋_GB2312"/>
          <w:color w:val="auto"/>
          <w:kern w:val="0"/>
          <w:sz w:val="20"/>
          <w:szCs w:val="20"/>
          <w:u w:val="single"/>
          <w:lang w:val="en-US" w:eastAsia="zh-CN" w:bidi="ar-SA"/>
        </w:rPr>
        <w:t>洒水车、</w:t>
      </w:r>
      <w:r>
        <w:rPr>
          <w:rFonts w:hint="eastAsia" w:ascii="仿宋_GB2312" w:hAnsi="仿宋_GB2312" w:eastAsia="仿宋_GB2312" w:cs="仿宋_GB2312"/>
          <w:color w:val="auto"/>
          <w:kern w:val="0"/>
          <w:sz w:val="20"/>
          <w:szCs w:val="20"/>
          <w:u w:val="single"/>
          <w:lang w:val="zh-CN" w:eastAsia="zh-CN" w:bidi="ar-SA"/>
        </w:rPr>
        <w:t>扫地机 、洗地机 、扫雪机、</w:t>
      </w:r>
      <w:r>
        <w:rPr>
          <w:rFonts w:hint="eastAsia" w:ascii="仿宋_GB2312" w:hAnsi="仿宋_GB2312" w:eastAsia="仿宋_GB2312" w:cs="仿宋_GB2312"/>
          <w:color w:val="auto"/>
          <w:kern w:val="0"/>
          <w:sz w:val="20"/>
          <w:szCs w:val="20"/>
          <w:u w:val="single"/>
          <w:lang w:val="en-US" w:eastAsia="zh-CN" w:bidi="ar-SA"/>
        </w:rPr>
        <w:t>转运垃圾车、高压冲洗车、打药机、高空作业车。</w:t>
      </w:r>
    </w:p>
    <w:p w14:paraId="379E1B3F">
      <w:pPr>
        <w:keepNext w:val="0"/>
        <w:keepLines w:val="0"/>
        <w:pageBreakBefore w:val="0"/>
        <w:widowControl w:val="0"/>
        <w:numPr>
          <w:ilvl w:val="0"/>
          <w:numId w:val="2"/>
        </w:numPr>
        <w:kinsoku/>
        <w:wordWrap/>
        <w:overflowPunct/>
        <w:topLinePunct w:val="0"/>
        <w:autoSpaceDE/>
        <w:autoSpaceDN/>
        <w:bidi w:val="0"/>
        <w:adjustRightInd/>
        <w:snapToGrid w:val="0"/>
        <w:spacing w:line="360" w:lineRule="auto"/>
        <w:ind w:left="0" w:leftChars="0"/>
        <w:jc w:val="both"/>
        <w:rPr>
          <w:rFonts w:hint="eastAsia" w:ascii="仿宋_GB2312" w:hAnsi="仿宋_GB2312" w:eastAsia="仿宋_GB2312" w:cs="仿宋_GB2312"/>
          <w:b/>
          <w:bCs/>
          <w:color w:val="auto"/>
          <w:kern w:val="0"/>
          <w:sz w:val="20"/>
          <w:szCs w:val="20"/>
          <w:lang w:val="zh-CN" w:eastAsia="zh-CN" w:bidi="ar-SA"/>
        </w:rPr>
      </w:pPr>
      <w:r>
        <w:rPr>
          <w:rFonts w:hint="eastAsia" w:ascii="仿宋_GB2312" w:hAnsi="仿宋_GB2312" w:eastAsia="仿宋_GB2312" w:cs="仿宋_GB2312"/>
          <w:b/>
          <w:bCs/>
          <w:color w:val="auto"/>
          <w:kern w:val="0"/>
          <w:sz w:val="20"/>
          <w:szCs w:val="20"/>
          <w:lang w:val="zh-CN" w:eastAsia="zh-CN" w:bidi="ar-SA"/>
        </w:rPr>
        <w:t>园区保安</w:t>
      </w:r>
    </w:p>
    <w:p w14:paraId="6CA6CFDD">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00" w:firstLineChars="200"/>
        <w:jc w:val="both"/>
        <w:textAlignment w:val="auto"/>
        <w:rPr>
          <w:rFonts w:hint="eastAsia" w:ascii="仿宋_GB2312" w:hAnsi="仿宋_GB2312" w:eastAsia="仿宋_GB2312" w:cs="仿宋_GB2312"/>
          <w:color w:val="auto"/>
          <w:kern w:val="0"/>
          <w:sz w:val="20"/>
          <w:szCs w:val="20"/>
          <w:highlight w:val="none"/>
          <w:lang w:val="en-US" w:eastAsia="zh-CN" w:bidi="ar-SA"/>
        </w:rPr>
      </w:pPr>
      <w:r>
        <w:rPr>
          <w:rFonts w:hint="eastAsia" w:ascii="仿宋_GB2312" w:hAnsi="仿宋_GB2312" w:eastAsia="仿宋_GB2312" w:cs="仿宋_GB2312"/>
          <w:color w:val="auto"/>
          <w:kern w:val="0"/>
          <w:sz w:val="20"/>
          <w:szCs w:val="20"/>
          <w:highlight w:val="none"/>
          <w:lang w:val="zh-CN" w:eastAsia="zh-CN" w:bidi="ar-SA"/>
        </w:rPr>
        <w:t>（</w:t>
      </w:r>
      <w:r>
        <w:rPr>
          <w:rFonts w:hint="eastAsia" w:ascii="仿宋_GB2312" w:hAnsi="仿宋_GB2312" w:eastAsia="仿宋_GB2312" w:cs="仿宋_GB2312"/>
          <w:color w:val="auto"/>
          <w:kern w:val="0"/>
          <w:sz w:val="20"/>
          <w:szCs w:val="20"/>
          <w:highlight w:val="none"/>
          <w:lang w:val="en-US" w:eastAsia="zh-CN" w:bidi="ar-SA"/>
        </w:rPr>
        <w:t>1</w:t>
      </w:r>
      <w:r>
        <w:rPr>
          <w:rFonts w:hint="eastAsia" w:ascii="仿宋_GB2312" w:hAnsi="仿宋_GB2312" w:eastAsia="仿宋_GB2312" w:cs="仿宋_GB2312"/>
          <w:color w:val="auto"/>
          <w:kern w:val="0"/>
          <w:sz w:val="20"/>
          <w:szCs w:val="20"/>
          <w:highlight w:val="none"/>
          <w:lang w:val="zh-CN" w:eastAsia="zh-CN" w:bidi="ar-SA"/>
        </w:rPr>
        <w:t>）</w:t>
      </w:r>
      <w:r>
        <w:rPr>
          <w:rFonts w:hint="eastAsia" w:ascii="仿宋_GB2312" w:hAnsi="仿宋_GB2312" w:eastAsia="仿宋_GB2312" w:cs="仿宋_GB2312"/>
          <w:color w:val="auto"/>
          <w:kern w:val="0"/>
          <w:sz w:val="20"/>
          <w:szCs w:val="20"/>
          <w:highlight w:val="none"/>
          <w:lang w:val="en-US" w:eastAsia="zh-CN" w:bidi="ar-SA"/>
        </w:rPr>
        <w:t>园区安保人员从事门卫管理、车辆管理、安全巡逻、秩序管理及文物保护、园林绿化、公共设施安全和节假日、重大活动的安保任务。并做好防火、防盗、防汛、防破坏、防事故等安全保卫工作，应对处置各类突发事件，保障园区秩序良好。设置安保项目经理负责安保工作管理及园方的对接。</w:t>
      </w:r>
    </w:p>
    <w:p w14:paraId="5A317EC4">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00" w:firstLineChars="200"/>
        <w:jc w:val="both"/>
        <w:textAlignment w:val="auto"/>
        <w:rPr>
          <w:rFonts w:hint="eastAsia" w:ascii="仿宋_GB2312" w:hAnsi="仿宋_GB2312" w:eastAsia="仿宋_GB2312" w:cs="仿宋_GB2312"/>
          <w:color w:val="auto"/>
          <w:kern w:val="0"/>
          <w:sz w:val="20"/>
          <w:szCs w:val="20"/>
          <w:highlight w:val="none"/>
          <w:lang w:val="en-US" w:eastAsia="zh-CN" w:bidi="ar-SA"/>
        </w:rPr>
      </w:pPr>
      <w:r>
        <w:rPr>
          <w:rFonts w:hint="eastAsia" w:ascii="仿宋_GB2312" w:hAnsi="仿宋_GB2312" w:eastAsia="仿宋_GB2312" w:cs="仿宋_GB2312"/>
          <w:color w:val="auto"/>
          <w:kern w:val="0"/>
          <w:sz w:val="20"/>
          <w:szCs w:val="20"/>
          <w:highlight w:val="none"/>
          <w:lang w:val="zh-CN" w:eastAsia="zh-CN" w:bidi="ar-SA"/>
        </w:rPr>
        <w:t>（</w:t>
      </w:r>
      <w:r>
        <w:rPr>
          <w:rFonts w:hint="eastAsia" w:ascii="仿宋_GB2312" w:hAnsi="仿宋_GB2312" w:eastAsia="仿宋_GB2312" w:cs="仿宋_GB2312"/>
          <w:color w:val="auto"/>
          <w:kern w:val="0"/>
          <w:sz w:val="20"/>
          <w:szCs w:val="20"/>
          <w:highlight w:val="none"/>
          <w:lang w:val="en-US" w:eastAsia="zh-CN" w:bidi="ar-SA"/>
        </w:rPr>
        <w:t>2）</w:t>
      </w:r>
      <w:r>
        <w:rPr>
          <w:rFonts w:hint="eastAsia" w:ascii="仿宋_GB2312" w:hAnsi="仿宋_GB2312" w:eastAsia="仿宋_GB2312" w:cs="仿宋_GB2312"/>
          <w:color w:val="auto"/>
          <w:kern w:val="0"/>
          <w:sz w:val="20"/>
          <w:szCs w:val="20"/>
          <w:highlight w:val="none"/>
          <w:lang w:val="zh-CN" w:eastAsia="zh-CN" w:bidi="ar-SA"/>
        </w:rPr>
        <w:t>根据</w:t>
      </w:r>
      <w:r>
        <w:rPr>
          <w:rFonts w:hint="eastAsia" w:ascii="仿宋_GB2312" w:hAnsi="仿宋_GB2312" w:eastAsia="仿宋_GB2312" w:cs="仿宋_GB2312"/>
          <w:color w:val="auto"/>
          <w:kern w:val="0"/>
          <w:sz w:val="20"/>
          <w:szCs w:val="20"/>
          <w:highlight w:val="none"/>
          <w:lang w:val="en-US" w:eastAsia="zh-CN" w:bidi="ar-SA"/>
        </w:rPr>
        <w:t>旅游景区</w:t>
      </w:r>
      <w:r>
        <w:rPr>
          <w:rFonts w:hint="eastAsia" w:ascii="仿宋_GB2312" w:hAnsi="仿宋_GB2312" w:eastAsia="仿宋_GB2312" w:cs="仿宋_GB2312"/>
          <w:color w:val="auto"/>
          <w:kern w:val="0"/>
          <w:sz w:val="20"/>
          <w:szCs w:val="20"/>
          <w:highlight w:val="none"/>
          <w:lang w:val="zh-CN" w:eastAsia="zh-CN" w:bidi="ar-SA"/>
        </w:rPr>
        <w:t>其他开放式公园定岗标准，结合</w:t>
      </w:r>
      <w:r>
        <w:rPr>
          <w:rFonts w:hint="eastAsia" w:ascii="仿宋_GB2312" w:hAnsi="仿宋_GB2312" w:eastAsia="仿宋_GB2312" w:cs="仿宋_GB2312"/>
          <w:color w:val="auto"/>
          <w:kern w:val="0"/>
          <w:sz w:val="20"/>
          <w:szCs w:val="20"/>
          <w:highlight w:val="none"/>
          <w:lang w:val="en-US" w:eastAsia="zh-CN" w:bidi="ar-SA"/>
        </w:rPr>
        <w:t>革命公园园区安全</w:t>
      </w:r>
      <w:r>
        <w:rPr>
          <w:rFonts w:hint="eastAsia" w:ascii="仿宋_GB2312" w:hAnsi="仿宋_GB2312" w:eastAsia="仿宋_GB2312" w:cs="仿宋_GB2312"/>
          <w:color w:val="auto"/>
          <w:kern w:val="0"/>
          <w:sz w:val="20"/>
          <w:szCs w:val="20"/>
          <w:highlight w:val="none"/>
          <w:lang w:val="zh-CN" w:eastAsia="zh-CN" w:bidi="ar-SA"/>
        </w:rPr>
        <w:t>管理的实际需要，</w:t>
      </w:r>
      <w:r>
        <w:rPr>
          <w:rFonts w:hint="eastAsia" w:ascii="仿宋_GB2312" w:hAnsi="仿宋_GB2312" w:eastAsia="仿宋_GB2312" w:cs="仿宋_GB2312"/>
          <w:color w:val="auto"/>
          <w:kern w:val="0"/>
          <w:sz w:val="20"/>
          <w:szCs w:val="20"/>
          <w:highlight w:val="none"/>
          <w:lang w:val="en-US" w:eastAsia="zh-CN" w:bidi="ar-SA"/>
        </w:rPr>
        <w:t>配置保安人员</w:t>
      </w:r>
      <w:r>
        <w:rPr>
          <w:rFonts w:hint="eastAsia" w:ascii="仿宋_GB2312" w:hAnsi="仿宋_GB2312" w:eastAsia="仿宋_GB2312" w:cs="仿宋_GB2312"/>
          <w:color w:val="auto"/>
          <w:kern w:val="0"/>
          <w:sz w:val="20"/>
          <w:szCs w:val="20"/>
          <w:highlight w:val="none"/>
          <w:lang w:val="zh-CN" w:eastAsia="zh-CN" w:bidi="ar-SA"/>
        </w:rPr>
        <w:t>，</w:t>
      </w:r>
      <w:r>
        <w:rPr>
          <w:rFonts w:hint="eastAsia" w:ascii="仿宋_GB2312" w:hAnsi="仿宋_GB2312" w:eastAsia="仿宋_GB2312" w:cs="仿宋_GB2312"/>
          <w:color w:val="auto"/>
          <w:kern w:val="0"/>
          <w:sz w:val="20"/>
          <w:szCs w:val="20"/>
          <w:highlight w:val="none"/>
          <w:lang w:val="en-US" w:eastAsia="zh-CN" w:bidi="ar-SA"/>
        </w:rPr>
        <w:t>园区固定岗4个、巡逻岗3个、监控中心岗1个，园区内保安人员执行24小时在岗巡逻值守规定。节假日及重大活动无偿增设一定数量的安保人员。保安</w:t>
      </w:r>
      <w:r>
        <w:rPr>
          <w:rFonts w:hint="eastAsia" w:ascii="仿宋_GB2312" w:hAnsi="仿宋_GB2312" w:eastAsia="仿宋_GB2312" w:cs="仿宋_GB2312"/>
          <w:color w:val="auto"/>
          <w:kern w:val="0"/>
          <w:sz w:val="20"/>
          <w:szCs w:val="20"/>
          <w:highlight w:val="none"/>
          <w:lang w:val="zh-CN" w:eastAsia="zh-CN" w:bidi="ar-SA"/>
        </w:rPr>
        <w:t>人员</w:t>
      </w:r>
      <w:r>
        <w:rPr>
          <w:rFonts w:hint="eastAsia" w:ascii="仿宋_GB2312" w:hAnsi="仿宋_GB2312" w:eastAsia="仿宋_GB2312" w:cs="仿宋_GB2312"/>
          <w:color w:val="auto"/>
          <w:kern w:val="0"/>
          <w:sz w:val="20"/>
          <w:szCs w:val="20"/>
          <w:highlight w:val="none"/>
          <w:lang w:val="en-US" w:eastAsia="zh-CN" w:bidi="ar-SA"/>
        </w:rPr>
        <w:t>需统一着装，佩戴标识，持证上岗</w:t>
      </w:r>
      <w:r>
        <w:rPr>
          <w:rFonts w:hint="eastAsia" w:ascii="仿宋_GB2312" w:hAnsi="仿宋_GB2312" w:eastAsia="仿宋_GB2312" w:cs="仿宋_GB2312"/>
          <w:color w:val="auto"/>
          <w:kern w:val="0"/>
          <w:sz w:val="20"/>
          <w:szCs w:val="20"/>
          <w:highlight w:val="none"/>
          <w:lang w:val="zh-CN" w:eastAsia="zh-CN" w:bidi="ar-SA"/>
        </w:rPr>
        <w:t>。</w:t>
      </w:r>
      <w:r>
        <w:rPr>
          <w:rFonts w:hint="eastAsia" w:ascii="仿宋_GB2312" w:hAnsi="仿宋_GB2312" w:eastAsia="仿宋_GB2312" w:cs="仿宋_GB2312"/>
          <w:color w:val="auto"/>
          <w:kern w:val="0"/>
          <w:sz w:val="20"/>
          <w:szCs w:val="20"/>
          <w:highlight w:val="none"/>
          <w:lang w:val="en-US" w:eastAsia="zh-CN" w:bidi="ar-SA"/>
        </w:rPr>
        <w:t>着装</w:t>
      </w:r>
      <w:r>
        <w:rPr>
          <w:rFonts w:hint="eastAsia" w:ascii="仿宋_GB2312" w:hAnsi="仿宋_GB2312" w:eastAsia="仿宋_GB2312" w:cs="仿宋_GB2312"/>
          <w:color w:val="auto"/>
          <w:kern w:val="0"/>
          <w:sz w:val="20"/>
          <w:szCs w:val="20"/>
          <w:highlight w:val="none"/>
          <w:lang w:val="zh-CN" w:eastAsia="zh-CN" w:bidi="ar-SA"/>
        </w:rPr>
        <w:t>的样式和颜色</w:t>
      </w:r>
      <w:r>
        <w:rPr>
          <w:rFonts w:hint="eastAsia" w:ascii="仿宋_GB2312" w:hAnsi="仿宋_GB2312" w:eastAsia="仿宋_GB2312" w:cs="仿宋_GB2312"/>
          <w:color w:val="auto"/>
          <w:kern w:val="0"/>
          <w:sz w:val="20"/>
          <w:szCs w:val="20"/>
          <w:highlight w:val="none"/>
          <w:lang w:val="en-US" w:eastAsia="zh-CN" w:bidi="ar-SA"/>
        </w:rPr>
        <w:t>符合相关规定，并</w:t>
      </w:r>
      <w:r>
        <w:rPr>
          <w:rFonts w:hint="eastAsia" w:ascii="仿宋_GB2312" w:hAnsi="仿宋_GB2312" w:eastAsia="仿宋_GB2312" w:cs="仿宋_GB2312"/>
          <w:color w:val="auto"/>
          <w:kern w:val="0"/>
          <w:sz w:val="20"/>
          <w:szCs w:val="20"/>
          <w:highlight w:val="none"/>
          <w:lang w:val="zh-CN" w:eastAsia="zh-CN" w:bidi="ar-SA"/>
        </w:rPr>
        <w:t>经甲方认可和同意。另需配置</w:t>
      </w:r>
      <w:r>
        <w:rPr>
          <w:rFonts w:hint="eastAsia" w:ascii="仿宋_GB2312" w:hAnsi="仿宋_GB2312" w:eastAsia="仿宋_GB2312" w:cs="仿宋_GB2312"/>
          <w:color w:val="auto"/>
          <w:kern w:val="0"/>
          <w:sz w:val="20"/>
          <w:szCs w:val="20"/>
          <w:highlight w:val="none"/>
          <w:lang w:val="en-US" w:eastAsia="zh-CN" w:bidi="ar-SA"/>
        </w:rPr>
        <w:t>巡逻车、防爆盾牌、防爆叉、对讲机、记录仪、捕狗器及雨衣、雨鞋等所需安保器材和防护物品。</w:t>
      </w:r>
    </w:p>
    <w:p w14:paraId="2AFDAA09">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color w:val="auto"/>
          <w:kern w:val="0"/>
          <w:sz w:val="20"/>
          <w:szCs w:val="20"/>
          <w:highlight w:val="none"/>
          <w:lang w:val="en-US" w:eastAsia="zh-CN" w:bidi="ar-SA"/>
        </w:rPr>
      </w:pPr>
      <w:r>
        <w:rPr>
          <w:rFonts w:hint="eastAsia" w:ascii="仿宋_GB2312" w:hAnsi="仿宋_GB2312" w:eastAsia="仿宋_GB2312" w:cs="仿宋_GB2312"/>
          <w:color w:val="auto"/>
          <w:kern w:val="0"/>
          <w:sz w:val="20"/>
          <w:szCs w:val="20"/>
          <w:highlight w:val="none"/>
          <w:lang w:val="en-US" w:eastAsia="zh-CN" w:bidi="ar-SA"/>
        </w:rPr>
        <w:t>（3）根据园区需要定期开展安保人员的教育培训及专项和综合应急演练。</w:t>
      </w:r>
    </w:p>
    <w:p w14:paraId="438D8327">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color w:val="auto"/>
          <w:kern w:val="0"/>
          <w:sz w:val="20"/>
          <w:szCs w:val="20"/>
          <w:highlight w:val="none"/>
          <w:lang w:val="en-US" w:eastAsia="zh-CN" w:bidi="ar-SA"/>
        </w:rPr>
      </w:pPr>
      <w:r>
        <w:rPr>
          <w:rFonts w:hint="eastAsia" w:ascii="仿宋_GB2312" w:hAnsi="仿宋_GB2312" w:eastAsia="仿宋_GB2312" w:cs="仿宋_GB2312"/>
          <w:color w:val="auto"/>
          <w:kern w:val="0"/>
          <w:sz w:val="20"/>
          <w:szCs w:val="20"/>
          <w:highlight w:val="none"/>
          <w:lang w:val="en-US" w:eastAsia="zh-CN" w:bidi="ar-SA"/>
        </w:rPr>
        <w:t>（4）负责园区消防器材的年检维护更换，定期对园内消防器材进行检查，发现问题及时整改。</w:t>
      </w:r>
    </w:p>
    <w:p w14:paraId="734F2801">
      <w:pPr>
        <w:keepNext w:val="0"/>
        <w:keepLines w:val="0"/>
        <w:pageBreakBefore w:val="0"/>
        <w:widowControl w:val="0"/>
        <w:kinsoku/>
        <w:wordWrap/>
        <w:overflowPunct/>
        <w:topLinePunct w:val="0"/>
        <w:autoSpaceDE/>
        <w:autoSpaceDN/>
        <w:bidi w:val="0"/>
        <w:adjustRightInd/>
        <w:snapToGrid w:val="0"/>
        <w:spacing w:line="360" w:lineRule="auto"/>
        <w:ind w:left="0" w:leftChars="0"/>
        <w:jc w:val="both"/>
        <w:rPr>
          <w:rFonts w:hint="eastAsia" w:ascii="仿宋_GB2312" w:hAnsi="仿宋_GB2312" w:eastAsia="仿宋_GB2312" w:cs="仿宋_GB2312"/>
          <w:b/>
          <w:bCs/>
          <w:color w:val="auto"/>
          <w:kern w:val="0"/>
          <w:sz w:val="20"/>
          <w:szCs w:val="20"/>
          <w:lang w:val="zh-CN" w:eastAsia="zh-CN" w:bidi="ar-SA"/>
        </w:rPr>
      </w:pPr>
      <w:r>
        <w:rPr>
          <w:rFonts w:hint="eastAsia" w:ascii="仿宋_GB2312" w:hAnsi="仿宋_GB2312" w:eastAsia="仿宋_GB2312" w:cs="仿宋_GB2312"/>
          <w:b/>
          <w:bCs/>
          <w:color w:val="auto"/>
          <w:kern w:val="0"/>
          <w:sz w:val="20"/>
          <w:szCs w:val="20"/>
          <w:lang w:val="en-US" w:eastAsia="zh-CN" w:bidi="ar-SA"/>
        </w:rPr>
        <w:t>7、</w:t>
      </w:r>
      <w:r>
        <w:rPr>
          <w:rFonts w:hint="eastAsia" w:ascii="仿宋_GB2312" w:hAnsi="仿宋_GB2312" w:eastAsia="仿宋_GB2312" w:cs="仿宋_GB2312"/>
          <w:b/>
          <w:bCs/>
          <w:color w:val="auto"/>
          <w:kern w:val="0"/>
          <w:sz w:val="20"/>
          <w:szCs w:val="20"/>
          <w:lang w:val="zh-CN" w:eastAsia="zh-CN" w:bidi="ar-SA"/>
        </w:rPr>
        <w:t>道路广场维护修缮</w:t>
      </w:r>
    </w:p>
    <w:p w14:paraId="634B272D">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道路、广场等铺装。园内主园路面积材质为</w:t>
      </w:r>
      <w:r>
        <w:rPr>
          <w:rFonts w:hint="eastAsia" w:ascii="仿宋_GB2312" w:hAnsi="仿宋_GB2312" w:eastAsia="仿宋_GB2312" w:cs="仿宋_GB2312"/>
          <w:color w:val="auto"/>
          <w:kern w:val="0"/>
          <w:sz w:val="20"/>
          <w:szCs w:val="20"/>
          <w:u w:val="single"/>
          <w:lang w:val="en-US" w:eastAsia="zh-CN" w:bidi="ar-SA"/>
        </w:rPr>
        <w:t>石材</w:t>
      </w:r>
      <w:r>
        <w:rPr>
          <w:rFonts w:hint="eastAsia" w:ascii="仿宋_GB2312" w:hAnsi="仿宋_GB2312" w:eastAsia="仿宋_GB2312" w:cs="仿宋_GB2312"/>
          <w:color w:val="auto"/>
          <w:kern w:val="0"/>
          <w:sz w:val="20"/>
          <w:szCs w:val="20"/>
          <w:lang w:val="zh-CN" w:eastAsia="zh-CN" w:bidi="ar-SA"/>
        </w:rPr>
        <w:t>，公园入口、小广场为</w:t>
      </w:r>
      <w:r>
        <w:rPr>
          <w:rFonts w:hint="eastAsia" w:ascii="仿宋_GB2312" w:hAnsi="仿宋_GB2312" w:eastAsia="仿宋_GB2312" w:cs="仿宋_GB2312"/>
          <w:color w:val="auto"/>
          <w:kern w:val="0"/>
          <w:sz w:val="20"/>
          <w:szCs w:val="20"/>
          <w:u w:val="single"/>
          <w:lang w:val="en-US" w:eastAsia="zh-CN" w:bidi="ar-SA"/>
        </w:rPr>
        <w:t>石材</w:t>
      </w:r>
      <w:r>
        <w:rPr>
          <w:rFonts w:hint="eastAsia" w:ascii="仿宋_GB2312" w:hAnsi="仿宋_GB2312" w:eastAsia="仿宋_GB2312" w:cs="仿宋_GB2312"/>
          <w:color w:val="auto"/>
          <w:kern w:val="0"/>
          <w:sz w:val="20"/>
          <w:szCs w:val="20"/>
          <w:lang w:val="zh-CN" w:eastAsia="zh-CN" w:bidi="ar-SA"/>
        </w:rPr>
        <w:t>铺装，园内支路均为条石路、片石路和透水砖路面</w:t>
      </w:r>
      <w:r>
        <w:rPr>
          <w:rFonts w:hint="eastAsia" w:ascii="仿宋_GB2312" w:hAnsi="仿宋_GB2312" w:eastAsia="仿宋_GB2312" w:cs="仿宋_GB2312"/>
          <w:color w:val="auto"/>
          <w:kern w:val="0"/>
          <w:sz w:val="20"/>
          <w:szCs w:val="20"/>
          <w:lang w:val="en-US" w:eastAsia="zh-CN" w:bidi="ar-SA"/>
        </w:rPr>
        <w:t>等</w:t>
      </w:r>
      <w:r>
        <w:rPr>
          <w:rFonts w:hint="eastAsia" w:ascii="仿宋_GB2312" w:hAnsi="仿宋_GB2312" w:eastAsia="仿宋_GB2312" w:cs="仿宋_GB2312"/>
          <w:color w:val="auto"/>
          <w:kern w:val="0"/>
          <w:sz w:val="20"/>
          <w:szCs w:val="20"/>
          <w:lang w:val="zh-CN" w:eastAsia="zh-CN" w:bidi="ar-SA"/>
        </w:rPr>
        <w:t>。道路广场维护修缮符合国家现行标准。</w:t>
      </w:r>
    </w:p>
    <w:p w14:paraId="63226683">
      <w:pPr>
        <w:keepNext w:val="0"/>
        <w:keepLines w:val="0"/>
        <w:pageBreakBefore w:val="0"/>
        <w:widowControl w:val="0"/>
        <w:kinsoku/>
        <w:wordWrap/>
        <w:overflowPunct/>
        <w:topLinePunct w:val="0"/>
        <w:autoSpaceDE/>
        <w:autoSpaceDN/>
        <w:bidi w:val="0"/>
        <w:adjustRightInd/>
        <w:snapToGrid w:val="0"/>
        <w:spacing w:line="360" w:lineRule="auto"/>
        <w:ind w:left="0" w:leftChars="0"/>
        <w:jc w:val="both"/>
        <w:rPr>
          <w:rFonts w:hint="eastAsia" w:ascii="仿宋_GB2312" w:hAnsi="仿宋_GB2312" w:eastAsia="仿宋_GB2312" w:cs="仿宋_GB2312"/>
          <w:b/>
          <w:bCs/>
          <w:color w:val="auto"/>
          <w:kern w:val="0"/>
          <w:sz w:val="20"/>
          <w:szCs w:val="20"/>
          <w:lang w:val="zh-CN" w:eastAsia="zh-CN" w:bidi="ar-SA"/>
        </w:rPr>
      </w:pPr>
      <w:r>
        <w:rPr>
          <w:rFonts w:hint="eastAsia" w:ascii="仿宋_GB2312" w:hAnsi="仿宋_GB2312" w:eastAsia="仿宋_GB2312" w:cs="仿宋_GB2312"/>
          <w:b/>
          <w:bCs/>
          <w:color w:val="auto"/>
          <w:kern w:val="0"/>
          <w:sz w:val="20"/>
          <w:szCs w:val="20"/>
          <w:lang w:val="en-US" w:eastAsia="zh-CN" w:bidi="ar-SA"/>
        </w:rPr>
        <w:t>8、</w:t>
      </w:r>
      <w:r>
        <w:rPr>
          <w:rFonts w:hint="eastAsia" w:ascii="仿宋_GB2312" w:hAnsi="仿宋_GB2312" w:eastAsia="仿宋_GB2312" w:cs="仿宋_GB2312"/>
          <w:b/>
          <w:bCs/>
          <w:color w:val="auto"/>
          <w:kern w:val="0"/>
          <w:sz w:val="20"/>
          <w:szCs w:val="20"/>
          <w:lang w:val="zh-CN" w:eastAsia="zh-CN" w:bidi="ar-SA"/>
        </w:rPr>
        <w:t>附属设施设备的维修保养</w:t>
      </w:r>
    </w:p>
    <w:p w14:paraId="5BA38BDD">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color w:val="auto"/>
          <w:kern w:val="0"/>
          <w:sz w:val="20"/>
          <w:szCs w:val="20"/>
          <w:lang w:val="zh-CN" w:eastAsia="zh-CN" w:bidi="ar-SA"/>
        </w:rPr>
      </w:pPr>
      <w:r>
        <w:rPr>
          <w:rFonts w:hint="eastAsia" w:ascii="仿宋_GB2312" w:hAnsi="仿宋_GB2312" w:eastAsia="仿宋_GB2312" w:cs="仿宋_GB2312"/>
          <w:color w:val="auto"/>
          <w:kern w:val="0"/>
          <w:sz w:val="20"/>
          <w:szCs w:val="20"/>
          <w:lang w:val="zh-CN" w:eastAsia="zh-CN" w:bidi="ar-SA"/>
        </w:rPr>
        <w:t>园区设备运行维护费</w:t>
      </w:r>
      <w:r>
        <w:rPr>
          <w:rFonts w:hint="eastAsia" w:ascii="仿宋_GB2312" w:hAnsi="仿宋_GB2312" w:eastAsia="仿宋_GB2312" w:cs="仿宋_GB2312"/>
          <w:color w:val="auto"/>
          <w:kern w:val="0"/>
          <w:sz w:val="20"/>
          <w:szCs w:val="20"/>
          <w:lang w:val="en-US" w:eastAsia="zh-CN" w:bidi="ar-SA"/>
        </w:rPr>
        <w:t>包括所有维修及更换费用</w:t>
      </w:r>
      <w:r>
        <w:rPr>
          <w:rFonts w:hint="eastAsia" w:ascii="仿宋_GB2312" w:hAnsi="仿宋_GB2312" w:eastAsia="仿宋_GB2312" w:cs="仿宋_GB2312"/>
          <w:color w:val="auto"/>
          <w:kern w:val="0"/>
          <w:sz w:val="20"/>
          <w:szCs w:val="20"/>
          <w:lang w:val="zh-CN" w:eastAsia="zh-CN" w:bidi="ar-SA"/>
        </w:rPr>
        <w:t>。园区内基础设施维护包括</w:t>
      </w:r>
      <w:r>
        <w:rPr>
          <w:rFonts w:hint="eastAsia" w:ascii="仿宋_GB2312" w:hAnsi="仿宋_GB2312" w:eastAsia="仿宋_GB2312" w:cs="仿宋_GB2312"/>
          <w:color w:val="auto"/>
          <w:kern w:val="0"/>
          <w:sz w:val="20"/>
          <w:szCs w:val="20"/>
          <w:lang w:val="en-US" w:eastAsia="zh-CN" w:bidi="ar-SA"/>
        </w:rPr>
        <w:t>但不限于</w:t>
      </w:r>
      <w:r>
        <w:rPr>
          <w:rFonts w:hint="eastAsia" w:ascii="仿宋_GB2312" w:hAnsi="仿宋_GB2312" w:eastAsia="仿宋_GB2312" w:cs="仿宋_GB2312"/>
          <w:color w:val="auto"/>
          <w:kern w:val="0"/>
          <w:sz w:val="20"/>
          <w:szCs w:val="20"/>
          <w:lang w:val="zh-CN" w:eastAsia="zh-CN" w:bidi="ar-SA"/>
        </w:rPr>
        <w:t>：</w:t>
      </w:r>
      <w:r>
        <w:rPr>
          <w:rFonts w:hint="eastAsia" w:ascii="仿宋_GB2312" w:hAnsi="仿宋_GB2312" w:eastAsia="仿宋_GB2312" w:cs="仿宋_GB2312"/>
          <w:color w:val="auto"/>
          <w:kern w:val="0"/>
          <w:sz w:val="20"/>
          <w:szCs w:val="20"/>
          <w:lang w:val="en-US" w:eastAsia="zh-CN" w:bidi="ar-SA"/>
        </w:rPr>
        <w:t>电力设施、</w:t>
      </w:r>
      <w:r>
        <w:rPr>
          <w:rFonts w:hint="eastAsia" w:ascii="仿宋_GB2312" w:hAnsi="仿宋_GB2312" w:eastAsia="仿宋_GB2312" w:cs="仿宋_GB2312"/>
          <w:color w:val="auto"/>
          <w:kern w:val="0"/>
          <w:sz w:val="20"/>
          <w:szCs w:val="20"/>
          <w:lang w:val="zh-CN" w:eastAsia="zh-CN" w:bidi="ar-SA"/>
        </w:rPr>
        <w:t>公园内照明系统（所有路灯、庭院灯、草坪灯）共</w:t>
      </w:r>
      <w:r>
        <w:rPr>
          <w:rFonts w:hint="eastAsia" w:ascii="仿宋_GB2312" w:hAnsi="仿宋_GB2312" w:eastAsia="仿宋_GB2312" w:cs="仿宋_GB2312"/>
          <w:color w:val="auto"/>
          <w:kern w:val="0"/>
          <w:sz w:val="20"/>
          <w:szCs w:val="20"/>
          <w:u w:val="single"/>
          <w:lang w:val="en-US" w:eastAsia="zh-CN" w:bidi="ar-SA"/>
        </w:rPr>
        <w:t>137</w:t>
      </w:r>
      <w:r>
        <w:rPr>
          <w:rFonts w:hint="eastAsia" w:ascii="仿宋_GB2312" w:hAnsi="仿宋_GB2312" w:eastAsia="仿宋_GB2312" w:cs="仿宋_GB2312"/>
          <w:color w:val="auto"/>
          <w:kern w:val="0"/>
          <w:sz w:val="20"/>
          <w:szCs w:val="20"/>
          <w:lang w:val="zh-CN" w:eastAsia="zh-CN" w:bidi="ar-SA"/>
        </w:rPr>
        <w:t>座灯，</w:t>
      </w:r>
      <w:r>
        <w:rPr>
          <w:rFonts w:hint="eastAsia" w:ascii="仿宋_GB2312" w:hAnsi="仿宋_GB2312" w:eastAsia="仿宋_GB2312" w:cs="仿宋_GB2312"/>
          <w:color w:val="auto"/>
          <w:kern w:val="0"/>
          <w:sz w:val="20"/>
          <w:szCs w:val="20"/>
          <w:u w:val="single"/>
          <w:lang w:val="zh-CN" w:eastAsia="zh-CN" w:bidi="ar-SA"/>
        </w:rPr>
        <w:t>3</w:t>
      </w:r>
      <w:r>
        <w:rPr>
          <w:rFonts w:hint="eastAsia" w:ascii="仿宋_GB2312" w:hAnsi="仿宋_GB2312" w:eastAsia="仿宋_GB2312" w:cs="仿宋_GB2312"/>
          <w:color w:val="auto"/>
          <w:kern w:val="0"/>
          <w:sz w:val="20"/>
          <w:szCs w:val="20"/>
          <w:lang w:val="zh-CN" w:eastAsia="zh-CN" w:bidi="ar-SA"/>
        </w:rPr>
        <w:t>座卫生间的水电易耗品（水龙头、控制阀、管件、冲水阀、灯泡、开关、控制器、电线）维修更换，</w:t>
      </w:r>
      <w:r>
        <w:rPr>
          <w:rFonts w:hint="eastAsia" w:ascii="仿宋_GB2312" w:hAnsi="仿宋_GB2312" w:eastAsia="仿宋_GB2312" w:cs="仿宋_GB2312"/>
          <w:color w:val="auto"/>
          <w:kern w:val="0"/>
          <w:sz w:val="20"/>
          <w:szCs w:val="20"/>
          <w:lang w:val="en-US" w:eastAsia="zh-CN" w:bidi="ar-SA"/>
        </w:rPr>
        <w:t>监控灯杆87</w:t>
      </w:r>
      <w:r>
        <w:rPr>
          <w:rFonts w:hint="eastAsia" w:ascii="仿宋_GB2312" w:hAnsi="仿宋_GB2312" w:eastAsia="仿宋_GB2312" w:cs="仿宋_GB2312"/>
          <w:color w:val="auto"/>
          <w:kern w:val="0"/>
          <w:sz w:val="20"/>
          <w:szCs w:val="20"/>
          <w:lang w:val="zh-CN" w:eastAsia="zh-CN" w:bidi="ar-SA"/>
        </w:rPr>
        <w:t>套；公共电子屏幕</w:t>
      </w:r>
      <w:r>
        <w:rPr>
          <w:rFonts w:hint="eastAsia" w:ascii="仿宋_GB2312" w:hAnsi="仿宋_GB2312" w:eastAsia="仿宋_GB2312" w:cs="仿宋_GB2312"/>
          <w:color w:val="auto"/>
          <w:kern w:val="0"/>
          <w:sz w:val="20"/>
          <w:szCs w:val="20"/>
          <w:u w:val="single"/>
          <w:lang w:val="en-US" w:eastAsia="zh-CN" w:bidi="ar-SA"/>
        </w:rPr>
        <w:t>18</w:t>
      </w:r>
      <w:r>
        <w:rPr>
          <w:rFonts w:hint="eastAsia" w:ascii="仿宋_GB2312" w:hAnsi="仿宋_GB2312" w:eastAsia="仿宋_GB2312" w:cs="仿宋_GB2312"/>
          <w:color w:val="auto"/>
          <w:kern w:val="0"/>
          <w:sz w:val="20"/>
          <w:szCs w:val="20"/>
          <w:lang w:val="zh-CN" w:eastAsia="zh-CN" w:bidi="ar-SA"/>
        </w:rPr>
        <w:t>平方米，维修费用包含易损耗品光缆、音响、摄像头、数据线、线路板的维修更换。</w:t>
      </w:r>
      <w:r>
        <w:rPr>
          <w:rFonts w:hint="eastAsia" w:ascii="仿宋_GB2312" w:hAnsi="仿宋_GB2312" w:eastAsia="仿宋_GB2312" w:cs="仿宋_GB2312"/>
          <w:color w:val="auto"/>
          <w:kern w:val="0"/>
          <w:sz w:val="20"/>
          <w:szCs w:val="20"/>
          <w:lang w:val="en-US" w:eastAsia="zh-CN" w:bidi="ar-SA"/>
        </w:rPr>
        <w:t>消防系统；</w:t>
      </w:r>
      <w:r>
        <w:rPr>
          <w:rFonts w:hint="eastAsia" w:ascii="仿宋_GB2312" w:hAnsi="仿宋_GB2312" w:eastAsia="仿宋_GB2312" w:cs="仿宋_GB2312"/>
          <w:color w:val="auto"/>
          <w:kern w:val="0"/>
          <w:sz w:val="20"/>
          <w:szCs w:val="20"/>
          <w:lang w:val="zh-CN" w:eastAsia="zh-CN" w:bidi="ar-SA"/>
        </w:rPr>
        <w:t>公园内座椅共计</w:t>
      </w:r>
      <w:r>
        <w:rPr>
          <w:rFonts w:hint="eastAsia" w:ascii="仿宋_GB2312" w:hAnsi="仿宋_GB2312" w:eastAsia="仿宋_GB2312" w:cs="仿宋_GB2312"/>
          <w:color w:val="auto"/>
          <w:kern w:val="0"/>
          <w:sz w:val="20"/>
          <w:szCs w:val="20"/>
          <w:u w:val="single"/>
          <w:lang w:val="en-US" w:eastAsia="zh-CN" w:bidi="ar-SA"/>
        </w:rPr>
        <w:t>283</w:t>
      </w:r>
      <w:r>
        <w:rPr>
          <w:rFonts w:hint="eastAsia" w:ascii="仿宋_GB2312" w:hAnsi="仿宋_GB2312" w:eastAsia="仿宋_GB2312" w:cs="仿宋_GB2312"/>
          <w:color w:val="auto"/>
          <w:kern w:val="0"/>
          <w:sz w:val="20"/>
          <w:szCs w:val="20"/>
          <w:lang w:val="zh-CN" w:eastAsia="zh-CN" w:bidi="ar-SA"/>
        </w:rPr>
        <w:t>套，垃圾箱共计</w:t>
      </w:r>
      <w:r>
        <w:rPr>
          <w:rFonts w:hint="eastAsia" w:ascii="仿宋_GB2312" w:hAnsi="仿宋_GB2312" w:eastAsia="仿宋_GB2312" w:cs="仿宋_GB2312"/>
          <w:color w:val="auto"/>
          <w:kern w:val="0"/>
          <w:sz w:val="20"/>
          <w:szCs w:val="20"/>
          <w:u w:val="single"/>
          <w:lang w:val="en-US" w:eastAsia="zh-CN" w:bidi="ar-SA"/>
        </w:rPr>
        <w:t>168</w:t>
      </w:r>
      <w:r>
        <w:rPr>
          <w:rFonts w:hint="eastAsia" w:ascii="仿宋_GB2312" w:hAnsi="仿宋_GB2312" w:eastAsia="仿宋_GB2312" w:cs="仿宋_GB2312"/>
          <w:color w:val="auto"/>
          <w:kern w:val="0"/>
          <w:sz w:val="20"/>
          <w:szCs w:val="20"/>
          <w:lang w:val="zh-CN" w:eastAsia="zh-CN" w:bidi="ar-SA"/>
        </w:rPr>
        <w:t>套，材质为防腐木，钢架。</w:t>
      </w:r>
      <w:r>
        <w:rPr>
          <w:rFonts w:hint="eastAsia" w:ascii="仿宋_GB2312" w:hAnsi="仿宋_GB2312" w:eastAsia="仿宋_GB2312" w:cs="仿宋_GB2312"/>
          <w:color w:val="auto"/>
          <w:kern w:val="0"/>
          <w:sz w:val="20"/>
          <w:szCs w:val="20"/>
          <w:u w:val="single"/>
          <w:lang w:val="en-US" w:eastAsia="zh-CN" w:bidi="ar-SA"/>
        </w:rPr>
        <w:t>7</w:t>
      </w:r>
      <w:r>
        <w:rPr>
          <w:rFonts w:hint="eastAsia" w:ascii="仿宋_GB2312" w:hAnsi="仿宋_GB2312" w:eastAsia="仿宋_GB2312" w:cs="仿宋_GB2312"/>
          <w:color w:val="auto"/>
          <w:kern w:val="0"/>
          <w:sz w:val="20"/>
          <w:szCs w:val="20"/>
          <w:lang w:val="zh-CN" w:eastAsia="zh-CN" w:bidi="ar-SA"/>
        </w:rPr>
        <w:t>处冷雾系统全年维护（加压泵，控制器，外结构，下设管道，高压喷头等）</w:t>
      </w:r>
      <w:r>
        <w:rPr>
          <w:rFonts w:hint="eastAsia" w:ascii="仿宋_GB2312" w:hAnsi="仿宋_GB2312" w:eastAsia="仿宋_GB2312" w:cs="仿宋_GB2312"/>
          <w:color w:val="auto"/>
          <w:kern w:val="0"/>
          <w:sz w:val="20"/>
          <w:szCs w:val="20"/>
          <w:lang w:val="en-US" w:eastAsia="zh-CN" w:bidi="ar-SA"/>
        </w:rPr>
        <w:t>园区所有设施的维修保养</w:t>
      </w:r>
      <w:r>
        <w:rPr>
          <w:rFonts w:hint="eastAsia" w:ascii="仿宋_GB2312" w:hAnsi="仿宋_GB2312" w:eastAsia="仿宋_GB2312" w:cs="仿宋_GB2312"/>
          <w:color w:val="auto"/>
          <w:kern w:val="0"/>
          <w:sz w:val="20"/>
          <w:szCs w:val="20"/>
          <w:lang w:val="zh-CN" w:eastAsia="zh-CN" w:bidi="ar-SA"/>
        </w:rPr>
        <w:t>。</w:t>
      </w:r>
    </w:p>
    <w:p w14:paraId="1C15FFF1">
      <w:pPr>
        <w:keepNext w:val="0"/>
        <w:keepLines w:val="0"/>
        <w:pageBreakBefore w:val="0"/>
        <w:widowControl w:val="0"/>
        <w:kinsoku/>
        <w:wordWrap/>
        <w:overflowPunct/>
        <w:topLinePunct w:val="0"/>
        <w:autoSpaceDE/>
        <w:autoSpaceDN/>
        <w:bidi w:val="0"/>
        <w:adjustRightInd/>
        <w:snapToGrid w:val="0"/>
        <w:spacing w:line="360" w:lineRule="auto"/>
        <w:ind w:left="0" w:leftChars="0"/>
        <w:jc w:val="both"/>
        <w:rPr>
          <w:rFonts w:hint="eastAsia" w:ascii="仿宋_GB2312" w:hAnsi="仿宋_GB2312" w:eastAsia="仿宋_GB2312" w:cs="仿宋_GB2312"/>
          <w:b/>
          <w:bCs/>
          <w:color w:val="auto"/>
          <w:kern w:val="0"/>
          <w:sz w:val="20"/>
          <w:szCs w:val="20"/>
          <w:highlight w:val="none"/>
          <w:lang w:val="zh-CN" w:eastAsia="zh-CN" w:bidi="ar-SA"/>
        </w:rPr>
      </w:pPr>
      <w:r>
        <w:rPr>
          <w:rFonts w:hint="eastAsia" w:ascii="仿宋_GB2312" w:hAnsi="仿宋_GB2312" w:eastAsia="仿宋_GB2312" w:cs="仿宋_GB2312"/>
          <w:b/>
          <w:bCs/>
          <w:color w:val="auto"/>
          <w:kern w:val="0"/>
          <w:sz w:val="20"/>
          <w:szCs w:val="20"/>
          <w:lang w:val="en-US" w:eastAsia="zh-CN" w:bidi="ar-SA"/>
        </w:rPr>
        <w:t>9、</w:t>
      </w:r>
      <w:r>
        <w:rPr>
          <w:rFonts w:hint="eastAsia" w:ascii="仿宋_GB2312" w:hAnsi="仿宋_GB2312" w:eastAsia="仿宋_GB2312" w:cs="仿宋_GB2312"/>
          <w:b/>
          <w:bCs/>
          <w:color w:val="auto"/>
          <w:kern w:val="0"/>
          <w:sz w:val="20"/>
          <w:szCs w:val="20"/>
          <w:lang w:val="zh-CN" w:eastAsia="zh-CN" w:bidi="ar-SA"/>
        </w:rPr>
        <w:t>各类垃</w:t>
      </w:r>
      <w:r>
        <w:rPr>
          <w:rFonts w:hint="eastAsia" w:ascii="仿宋_GB2312" w:hAnsi="仿宋_GB2312" w:eastAsia="仿宋_GB2312" w:cs="仿宋_GB2312"/>
          <w:b/>
          <w:bCs/>
          <w:color w:val="auto"/>
          <w:kern w:val="0"/>
          <w:sz w:val="20"/>
          <w:szCs w:val="20"/>
          <w:highlight w:val="none"/>
          <w:lang w:val="zh-CN" w:eastAsia="zh-CN" w:bidi="ar-SA"/>
        </w:rPr>
        <w:t>圾分类清运</w:t>
      </w:r>
    </w:p>
    <w:p w14:paraId="46218D85">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b/>
          <w:bCs/>
          <w:color w:val="auto"/>
          <w:kern w:val="0"/>
          <w:sz w:val="20"/>
          <w:szCs w:val="20"/>
          <w:highlight w:val="none"/>
          <w:lang w:val="en-US" w:eastAsia="zh-CN" w:bidi="ar-SA"/>
        </w:rPr>
      </w:pPr>
      <w:r>
        <w:rPr>
          <w:rFonts w:hint="eastAsia" w:ascii="仿宋_GB2312" w:hAnsi="仿宋_GB2312" w:eastAsia="仿宋_GB2312" w:cs="仿宋_GB2312"/>
          <w:color w:val="auto"/>
          <w:kern w:val="0"/>
          <w:sz w:val="20"/>
          <w:szCs w:val="20"/>
          <w:highlight w:val="none"/>
          <w:lang w:val="en-US" w:eastAsia="zh-CN" w:bidi="ar-SA"/>
        </w:rPr>
        <w:t>革命</w:t>
      </w:r>
      <w:r>
        <w:rPr>
          <w:rFonts w:hint="eastAsia" w:ascii="仿宋_GB2312" w:hAnsi="仿宋_GB2312" w:eastAsia="仿宋_GB2312" w:cs="仿宋_GB2312"/>
          <w:color w:val="auto"/>
          <w:kern w:val="0"/>
          <w:sz w:val="20"/>
          <w:szCs w:val="20"/>
          <w:highlight w:val="none"/>
          <w:lang w:val="zh-CN" w:eastAsia="zh-CN" w:bidi="ar-SA"/>
        </w:rPr>
        <w:t>公园的</w:t>
      </w:r>
      <w:r>
        <w:rPr>
          <w:rFonts w:hint="eastAsia" w:ascii="仿宋_GB2312" w:hAnsi="仿宋_GB2312" w:eastAsia="仿宋_GB2312" w:cs="仿宋_GB2312"/>
          <w:color w:val="auto"/>
          <w:kern w:val="0"/>
          <w:sz w:val="20"/>
          <w:szCs w:val="20"/>
          <w:highlight w:val="none"/>
          <w:lang w:val="en-US" w:eastAsia="zh-CN" w:bidi="ar-SA"/>
        </w:rPr>
        <w:t>2026年7月1日--2026年12月31日的垃圾清运工作，达到垃圾分类的标准，日产日清。</w:t>
      </w:r>
    </w:p>
    <w:p w14:paraId="15AEB370">
      <w:pPr>
        <w:keepNext w:val="0"/>
        <w:keepLines w:val="0"/>
        <w:pageBreakBefore w:val="0"/>
        <w:widowControl w:val="0"/>
        <w:kinsoku/>
        <w:wordWrap/>
        <w:overflowPunct/>
        <w:topLinePunct w:val="0"/>
        <w:autoSpaceDE/>
        <w:autoSpaceDN/>
        <w:bidi w:val="0"/>
        <w:adjustRightInd/>
        <w:snapToGrid w:val="0"/>
        <w:spacing w:line="360" w:lineRule="auto"/>
        <w:ind w:left="0" w:leftChars="0"/>
        <w:jc w:val="both"/>
        <w:rPr>
          <w:rFonts w:hint="eastAsia" w:ascii="仿宋_GB2312" w:hAnsi="仿宋_GB2312" w:eastAsia="仿宋_GB2312" w:cs="仿宋_GB2312"/>
          <w:b/>
          <w:bCs/>
          <w:color w:val="auto"/>
          <w:kern w:val="0"/>
          <w:sz w:val="20"/>
          <w:szCs w:val="20"/>
          <w:highlight w:val="none"/>
          <w:lang w:val="zh-CN" w:eastAsia="zh-CN" w:bidi="ar-SA"/>
        </w:rPr>
      </w:pPr>
      <w:r>
        <w:rPr>
          <w:rFonts w:hint="eastAsia" w:ascii="仿宋_GB2312" w:hAnsi="仿宋_GB2312" w:eastAsia="仿宋_GB2312" w:cs="仿宋_GB2312"/>
          <w:b/>
          <w:bCs/>
          <w:color w:val="auto"/>
          <w:kern w:val="0"/>
          <w:sz w:val="20"/>
          <w:szCs w:val="20"/>
          <w:highlight w:val="none"/>
          <w:lang w:val="en-US" w:eastAsia="zh-CN" w:bidi="ar-SA"/>
        </w:rPr>
        <w:t>10、</w:t>
      </w:r>
      <w:r>
        <w:rPr>
          <w:rFonts w:hint="eastAsia" w:ascii="仿宋_GB2312" w:hAnsi="仿宋_GB2312" w:eastAsia="仿宋_GB2312" w:cs="仿宋_GB2312"/>
          <w:b/>
          <w:bCs/>
          <w:color w:val="auto"/>
          <w:kern w:val="0"/>
          <w:sz w:val="20"/>
          <w:szCs w:val="20"/>
          <w:highlight w:val="none"/>
          <w:lang w:val="zh-CN" w:eastAsia="zh-CN" w:bidi="ar-SA"/>
        </w:rPr>
        <w:t>水电等费用</w:t>
      </w:r>
    </w:p>
    <w:p w14:paraId="055C95CE">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color w:val="auto"/>
          <w:kern w:val="0"/>
          <w:sz w:val="20"/>
          <w:szCs w:val="20"/>
          <w:highlight w:val="none"/>
          <w:lang w:val="en-US" w:eastAsia="zh-CN" w:bidi="ar-SA"/>
        </w:rPr>
      </w:pPr>
      <w:r>
        <w:rPr>
          <w:rFonts w:hint="eastAsia" w:ascii="仿宋_GB2312" w:hAnsi="仿宋_GB2312" w:eastAsia="仿宋_GB2312" w:cs="仿宋_GB2312"/>
          <w:color w:val="auto"/>
          <w:kern w:val="0"/>
          <w:sz w:val="20"/>
          <w:szCs w:val="20"/>
          <w:highlight w:val="none"/>
          <w:lang w:val="en-US" w:eastAsia="zh-CN" w:bidi="ar-SA"/>
        </w:rPr>
        <w:t>革命</w:t>
      </w:r>
      <w:r>
        <w:rPr>
          <w:rFonts w:hint="eastAsia" w:ascii="仿宋_GB2312" w:hAnsi="仿宋_GB2312" w:eastAsia="仿宋_GB2312" w:cs="仿宋_GB2312"/>
          <w:color w:val="auto"/>
          <w:kern w:val="0"/>
          <w:sz w:val="20"/>
          <w:szCs w:val="20"/>
          <w:highlight w:val="none"/>
          <w:lang w:val="zh-CN" w:eastAsia="zh-CN" w:bidi="ar-SA"/>
        </w:rPr>
        <w:t>公园的</w:t>
      </w:r>
      <w:r>
        <w:rPr>
          <w:rFonts w:hint="eastAsia" w:ascii="仿宋_GB2312" w:hAnsi="仿宋_GB2312" w:eastAsia="仿宋_GB2312" w:cs="仿宋_GB2312"/>
          <w:color w:val="auto"/>
          <w:kern w:val="0"/>
          <w:sz w:val="20"/>
          <w:szCs w:val="20"/>
          <w:highlight w:val="none"/>
          <w:lang w:val="en-US" w:eastAsia="zh-CN" w:bidi="ar-SA"/>
        </w:rPr>
        <w:t>2026年7月1日--2026年12月31日公共区域的维修、保养、还包括园区日常运营，园区箱变维保费。</w:t>
      </w:r>
    </w:p>
    <w:p w14:paraId="377016A8">
      <w:pPr>
        <w:keepNext w:val="0"/>
        <w:keepLines w:val="0"/>
        <w:pageBreakBefore w:val="0"/>
        <w:widowControl w:val="0"/>
        <w:kinsoku/>
        <w:wordWrap/>
        <w:overflowPunct/>
        <w:topLinePunct w:val="0"/>
        <w:autoSpaceDE/>
        <w:autoSpaceDN/>
        <w:bidi w:val="0"/>
        <w:adjustRightInd/>
        <w:snapToGrid w:val="0"/>
        <w:spacing w:line="360" w:lineRule="auto"/>
        <w:ind w:left="0" w:leftChars="0" w:firstLine="402" w:firstLineChars="200"/>
        <w:jc w:val="both"/>
        <w:rPr>
          <w:rFonts w:hint="eastAsia" w:ascii="仿宋_GB2312" w:hAnsi="仿宋_GB2312" w:eastAsia="仿宋_GB2312" w:cs="仿宋_GB2312"/>
          <w:b/>
          <w:bCs/>
          <w:color w:val="auto"/>
          <w:kern w:val="0"/>
          <w:sz w:val="20"/>
          <w:szCs w:val="20"/>
          <w:highlight w:val="none"/>
          <w:lang w:val="en-US" w:eastAsia="zh-CN" w:bidi="ar-SA"/>
        </w:rPr>
      </w:pPr>
      <w:r>
        <w:rPr>
          <w:rFonts w:hint="eastAsia" w:ascii="仿宋_GB2312" w:hAnsi="仿宋_GB2312" w:eastAsia="仿宋_GB2312" w:cs="仿宋_GB2312"/>
          <w:b/>
          <w:bCs/>
          <w:color w:val="auto"/>
          <w:kern w:val="0"/>
          <w:sz w:val="20"/>
          <w:szCs w:val="20"/>
          <w:highlight w:val="none"/>
          <w:lang w:val="en-US" w:eastAsia="zh-CN" w:bidi="ar-SA"/>
        </w:rPr>
        <w:t>☆合同期内，采购方缴纳公共区域水电费2026年7-12月为23.5万元。不足部分由中标单位缴纳。</w:t>
      </w:r>
    </w:p>
    <w:p w14:paraId="7045A85C">
      <w:pPr>
        <w:keepNext w:val="0"/>
        <w:keepLines w:val="0"/>
        <w:pageBreakBefore w:val="0"/>
        <w:widowControl w:val="0"/>
        <w:kinsoku/>
        <w:wordWrap/>
        <w:overflowPunct/>
        <w:topLinePunct w:val="0"/>
        <w:autoSpaceDE/>
        <w:autoSpaceDN/>
        <w:bidi w:val="0"/>
        <w:adjustRightInd/>
        <w:snapToGrid w:val="0"/>
        <w:spacing w:line="360" w:lineRule="auto"/>
        <w:ind w:left="0" w:leftChars="0"/>
        <w:jc w:val="both"/>
        <w:rPr>
          <w:rFonts w:hint="eastAsia" w:ascii="仿宋_GB2312" w:hAnsi="仿宋_GB2312" w:eastAsia="仿宋_GB2312" w:cs="仿宋_GB2312"/>
          <w:b/>
          <w:bCs/>
          <w:color w:val="auto"/>
          <w:kern w:val="0"/>
          <w:sz w:val="20"/>
          <w:szCs w:val="20"/>
          <w:highlight w:val="none"/>
          <w:lang w:val="en-US" w:eastAsia="zh-CN" w:bidi="ar-SA"/>
        </w:rPr>
      </w:pPr>
      <w:r>
        <w:rPr>
          <w:rFonts w:hint="eastAsia" w:ascii="仿宋_GB2312" w:hAnsi="仿宋_GB2312" w:eastAsia="仿宋_GB2312" w:cs="仿宋_GB2312"/>
          <w:b/>
          <w:bCs/>
          <w:color w:val="auto"/>
          <w:kern w:val="0"/>
          <w:sz w:val="20"/>
          <w:szCs w:val="20"/>
          <w:highlight w:val="none"/>
          <w:lang w:val="en-US" w:eastAsia="zh-CN" w:bidi="ar-SA"/>
        </w:rPr>
        <w:t>11、提供讲解服务</w:t>
      </w:r>
      <w:r>
        <w:rPr>
          <w:rFonts w:hint="eastAsia" w:ascii="仿宋_GB2312" w:hAnsi="仿宋_GB2312" w:eastAsia="仿宋_GB2312" w:cs="仿宋_GB2312"/>
          <w:b/>
          <w:bCs/>
          <w:color w:val="auto"/>
          <w:kern w:val="0"/>
          <w:sz w:val="20"/>
          <w:szCs w:val="20"/>
          <w:highlight w:val="none"/>
          <w:lang w:val="zh-CN" w:eastAsia="zh-CN" w:bidi="ar-SA"/>
        </w:rPr>
        <w:t>及</w:t>
      </w:r>
      <w:r>
        <w:rPr>
          <w:rFonts w:hint="eastAsia" w:ascii="仿宋_GB2312" w:hAnsi="仿宋_GB2312" w:eastAsia="仿宋_GB2312" w:cs="仿宋_GB2312"/>
          <w:b/>
          <w:bCs/>
          <w:color w:val="auto"/>
          <w:kern w:val="0"/>
          <w:sz w:val="20"/>
          <w:szCs w:val="20"/>
          <w:highlight w:val="none"/>
          <w:lang w:val="en-US" w:eastAsia="zh-CN" w:bidi="ar-SA"/>
        </w:rPr>
        <w:t>配合公园开展</w:t>
      </w:r>
      <w:r>
        <w:rPr>
          <w:rFonts w:hint="eastAsia" w:ascii="仿宋_GB2312" w:hAnsi="仿宋_GB2312" w:eastAsia="仿宋_GB2312" w:cs="仿宋_GB2312"/>
          <w:b/>
          <w:bCs/>
          <w:color w:val="auto"/>
          <w:kern w:val="0"/>
          <w:sz w:val="20"/>
          <w:szCs w:val="20"/>
          <w:highlight w:val="none"/>
          <w:lang w:val="zh-CN" w:eastAsia="zh-CN" w:bidi="ar-SA"/>
        </w:rPr>
        <w:t>各类宣传</w:t>
      </w:r>
      <w:r>
        <w:rPr>
          <w:rFonts w:hint="eastAsia" w:ascii="仿宋_GB2312" w:hAnsi="仿宋_GB2312" w:eastAsia="仿宋_GB2312" w:cs="仿宋_GB2312"/>
          <w:b/>
          <w:bCs/>
          <w:color w:val="auto"/>
          <w:kern w:val="0"/>
          <w:sz w:val="20"/>
          <w:szCs w:val="20"/>
          <w:highlight w:val="none"/>
          <w:lang w:val="en-US" w:eastAsia="zh-CN" w:bidi="ar-SA"/>
        </w:rPr>
        <w:t>活动</w:t>
      </w:r>
    </w:p>
    <w:p w14:paraId="2F64F3D2">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b/>
          <w:bCs/>
          <w:color w:val="auto"/>
          <w:kern w:val="0"/>
          <w:sz w:val="20"/>
          <w:szCs w:val="20"/>
          <w:highlight w:val="none"/>
          <w:lang w:val="zh-CN" w:eastAsia="zh-CN" w:bidi="ar-SA"/>
        </w:rPr>
      </w:pPr>
      <w:r>
        <w:rPr>
          <w:rFonts w:hint="eastAsia" w:ascii="仿宋_GB2312" w:hAnsi="仿宋_GB2312" w:eastAsia="仿宋_GB2312" w:cs="仿宋_GB2312"/>
          <w:color w:val="auto"/>
          <w:kern w:val="0"/>
          <w:sz w:val="20"/>
          <w:szCs w:val="20"/>
          <w:highlight w:val="none"/>
          <w:lang w:val="en-US" w:eastAsia="zh-CN" w:bidi="ar-SA"/>
        </w:rPr>
        <w:t>提供2026年7月--2026年12月公园历史文化讲解员及配合公园开展各类宣传活动。按照公园制定的讲解规范高质量完成日常讲解、接待；维护展厅内正常展陈和更新，在公园指导要求下及时更新维护园内各类宣传设施。</w:t>
      </w:r>
    </w:p>
    <w:p w14:paraId="0B4AB7F8">
      <w:pPr>
        <w:keepNext w:val="0"/>
        <w:keepLines w:val="0"/>
        <w:pageBreakBefore w:val="0"/>
        <w:widowControl w:val="0"/>
        <w:kinsoku/>
        <w:wordWrap/>
        <w:overflowPunct/>
        <w:topLinePunct w:val="0"/>
        <w:autoSpaceDE/>
        <w:autoSpaceDN/>
        <w:bidi w:val="0"/>
        <w:adjustRightInd/>
        <w:snapToGrid w:val="0"/>
        <w:spacing w:line="360" w:lineRule="auto"/>
        <w:ind w:left="0" w:leftChars="0"/>
        <w:jc w:val="both"/>
        <w:rPr>
          <w:rFonts w:hint="eastAsia" w:ascii="仿宋_GB2312" w:hAnsi="仿宋_GB2312" w:eastAsia="仿宋_GB2312" w:cs="仿宋_GB2312"/>
          <w:b/>
          <w:bCs/>
          <w:color w:val="auto"/>
          <w:kern w:val="0"/>
          <w:sz w:val="20"/>
          <w:szCs w:val="20"/>
          <w:highlight w:val="none"/>
          <w:lang w:val="zh-CN" w:eastAsia="zh-CN" w:bidi="ar-SA"/>
        </w:rPr>
      </w:pPr>
      <w:r>
        <w:rPr>
          <w:rFonts w:hint="eastAsia" w:ascii="仿宋_GB2312" w:hAnsi="仿宋_GB2312" w:eastAsia="仿宋_GB2312" w:cs="仿宋_GB2312"/>
          <w:b/>
          <w:bCs/>
          <w:color w:val="auto"/>
          <w:kern w:val="0"/>
          <w:sz w:val="20"/>
          <w:szCs w:val="20"/>
          <w:highlight w:val="none"/>
          <w:lang w:val="en-US" w:eastAsia="zh-CN" w:bidi="ar-SA"/>
        </w:rPr>
        <w:t>12、水体治理</w:t>
      </w:r>
      <w:r>
        <w:rPr>
          <w:rFonts w:hint="eastAsia" w:ascii="仿宋_GB2312" w:hAnsi="仿宋_GB2312" w:eastAsia="仿宋_GB2312" w:cs="仿宋_GB2312"/>
          <w:b/>
          <w:bCs/>
          <w:color w:val="auto"/>
          <w:kern w:val="0"/>
          <w:sz w:val="20"/>
          <w:szCs w:val="20"/>
          <w:highlight w:val="none"/>
          <w:lang w:val="zh-CN" w:eastAsia="zh-CN" w:bidi="ar-SA"/>
        </w:rPr>
        <w:t>。</w:t>
      </w:r>
    </w:p>
    <w:p w14:paraId="27D575E3">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color w:val="auto"/>
          <w:kern w:val="2"/>
          <w:sz w:val="20"/>
          <w:szCs w:val="20"/>
          <w:highlight w:val="none"/>
          <w:lang w:val="en-US" w:eastAsia="zh-CN" w:bidi="ar-SA"/>
        </w:rPr>
      </w:pPr>
      <w:r>
        <w:rPr>
          <w:rFonts w:hint="eastAsia" w:ascii="仿宋_GB2312" w:hAnsi="仿宋_GB2312" w:eastAsia="仿宋_GB2312" w:cs="仿宋_GB2312"/>
          <w:color w:val="auto"/>
          <w:kern w:val="2"/>
          <w:sz w:val="20"/>
          <w:szCs w:val="20"/>
          <w:highlight w:val="none"/>
          <w:lang w:val="en-US" w:eastAsia="zh-CN" w:bidi="ar-SA"/>
        </w:rPr>
        <w:t>公园水体面积约0.71万平方米，节约水资源、进行水体治理、湖面保洁和及时补水、日常管理维护。</w:t>
      </w:r>
    </w:p>
    <w:p w14:paraId="014B3D11">
      <w:pPr>
        <w:keepNext w:val="0"/>
        <w:keepLines w:val="0"/>
        <w:pageBreakBefore w:val="0"/>
        <w:widowControl w:val="0"/>
        <w:kinsoku/>
        <w:wordWrap/>
        <w:overflowPunct/>
        <w:topLinePunct w:val="0"/>
        <w:autoSpaceDE/>
        <w:autoSpaceDN/>
        <w:bidi w:val="0"/>
        <w:adjustRightInd/>
        <w:snapToGrid w:val="0"/>
        <w:spacing w:line="360" w:lineRule="auto"/>
        <w:ind w:left="0" w:leftChars="0"/>
        <w:jc w:val="both"/>
        <w:rPr>
          <w:rFonts w:hint="eastAsia" w:ascii="仿宋_GB2312" w:hAnsi="仿宋_GB2312" w:eastAsia="仿宋_GB2312" w:cs="仿宋_GB2312"/>
          <w:b/>
          <w:bCs/>
          <w:color w:val="auto"/>
          <w:kern w:val="0"/>
          <w:sz w:val="20"/>
          <w:szCs w:val="20"/>
          <w:highlight w:val="none"/>
          <w:lang w:val="zh-CN" w:eastAsia="zh-CN" w:bidi="ar-SA"/>
        </w:rPr>
      </w:pPr>
      <w:r>
        <w:rPr>
          <w:rFonts w:hint="eastAsia" w:ascii="仿宋_GB2312" w:hAnsi="仿宋_GB2312" w:eastAsia="仿宋_GB2312" w:cs="仿宋_GB2312"/>
          <w:b/>
          <w:bCs/>
          <w:color w:val="auto"/>
          <w:kern w:val="0"/>
          <w:sz w:val="20"/>
          <w:szCs w:val="20"/>
          <w:highlight w:val="none"/>
          <w:lang w:val="en-US" w:eastAsia="zh-CN" w:bidi="ar-SA"/>
        </w:rPr>
        <w:t>13、</w:t>
      </w:r>
      <w:r>
        <w:rPr>
          <w:rFonts w:hint="eastAsia" w:ascii="仿宋_GB2312" w:hAnsi="仿宋_GB2312" w:eastAsia="仿宋_GB2312" w:cs="仿宋_GB2312"/>
          <w:b/>
          <w:bCs/>
          <w:color w:val="auto"/>
          <w:kern w:val="0"/>
          <w:sz w:val="20"/>
          <w:szCs w:val="20"/>
          <w:highlight w:val="none"/>
          <w:lang w:val="zh-CN" w:eastAsia="zh-CN" w:bidi="ar-SA"/>
        </w:rPr>
        <w:t>园区消耗品</w:t>
      </w:r>
    </w:p>
    <w:p w14:paraId="42F0A4CB">
      <w:pPr>
        <w:keepNext w:val="0"/>
        <w:keepLines w:val="0"/>
        <w:pageBreakBefore w:val="0"/>
        <w:widowControl w:val="0"/>
        <w:kinsoku/>
        <w:wordWrap/>
        <w:overflowPunct/>
        <w:topLinePunct w:val="0"/>
        <w:autoSpaceDE/>
        <w:autoSpaceDN/>
        <w:bidi w:val="0"/>
        <w:adjustRightInd/>
        <w:snapToGrid w:val="0"/>
        <w:spacing w:line="360" w:lineRule="auto"/>
        <w:ind w:left="0" w:leftChars="0" w:firstLine="400" w:firstLineChars="200"/>
        <w:jc w:val="both"/>
        <w:rPr>
          <w:rFonts w:hint="eastAsia" w:ascii="仿宋_GB2312" w:hAnsi="仿宋_GB2312" w:eastAsia="仿宋_GB2312" w:cs="仿宋_GB2312"/>
          <w:color w:val="auto"/>
          <w:kern w:val="2"/>
          <w:sz w:val="20"/>
          <w:szCs w:val="20"/>
          <w:highlight w:val="none"/>
          <w:lang w:val="en-US" w:eastAsia="zh-CN" w:bidi="ar-SA"/>
        </w:rPr>
      </w:pPr>
      <w:r>
        <w:rPr>
          <w:rFonts w:hint="eastAsia" w:ascii="仿宋_GB2312" w:hAnsi="仿宋_GB2312" w:eastAsia="仿宋_GB2312" w:cs="仿宋_GB2312"/>
          <w:color w:val="auto"/>
          <w:kern w:val="0"/>
          <w:sz w:val="20"/>
          <w:szCs w:val="20"/>
          <w:highlight w:val="none"/>
          <w:lang w:val="zh-CN" w:eastAsia="zh-CN" w:bidi="ar-SA"/>
        </w:rPr>
        <w:t>园区消耗品包括公共卫生间保洁用消耗品；园区消防用品、</w:t>
      </w:r>
      <w:r>
        <w:rPr>
          <w:rFonts w:hint="eastAsia" w:ascii="仿宋_GB2312" w:hAnsi="仿宋_GB2312" w:eastAsia="仿宋_GB2312" w:cs="仿宋_GB2312"/>
          <w:color w:val="auto"/>
          <w:kern w:val="0"/>
          <w:sz w:val="20"/>
          <w:szCs w:val="20"/>
          <w:highlight w:val="none"/>
          <w:lang w:val="en-US" w:eastAsia="zh-CN" w:bidi="ar-SA"/>
        </w:rPr>
        <w:t>门口志愿服务用品等所有消耗品。</w:t>
      </w:r>
    </w:p>
    <w:p w14:paraId="5EE6684D">
      <w:pPr>
        <w:keepNext w:val="0"/>
        <w:keepLines w:val="0"/>
        <w:pageBreakBefore w:val="0"/>
        <w:widowControl w:val="0"/>
        <w:numPr>
          <w:ilvl w:val="0"/>
          <w:numId w:val="0"/>
        </w:numPr>
        <w:kinsoku/>
        <w:wordWrap/>
        <w:overflowPunct/>
        <w:topLinePunct w:val="0"/>
        <w:autoSpaceDE/>
        <w:autoSpaceDN/>
        <w:bidi w:val="0"/>
        <w:adjustRightInd/>
        <w:spacing w:line="360" w:lineRule="auto"/>
        <w:ind w:left="0" w:leftChars="0" w:firstLine="0" w:firstLineChars="0"/>
        <w:jc w:val="both"/>
        <w:rPr>
          <w:rFonts w:hint="eastAsia" w:ascii="仿宋_GB2312" w:hAnsi="仿宋_GB2312" w:eastAsia="仿宋_GB2312" w:cs="仿宋_GB2312"/>
          <w:b/>
          <w:bCs/>
          <w:color w:val="auto"/>
          <w:kern w:val="2"/>
          <w:sz w:val="20"/>
          <w:szCs w:val="20"/>
          <w:highlight w:val="none"/>
          <w:lang w:val="en-US" w:eastAsia="zh-CN" w:bidi="ar-SA"/>
        </w:rPr>
      </w:pPr>
      <w:r>
        <w:rPr>
          <w:rFonts w:hint="eastAsia" w:ascii="仿宋_GB2312" w:hAnsi="仿宋_GB2312" w:eastAsia="仿宋_GB2312" w:cs="仿宋_GB2312"/>
          <w:b/>
          <w:bCs/>
          <w:color w:val="auto"/>
          <w:kern w:val="2"/>
          <w:sz w:val="20"/>
          <w:szCs w:val="20"/>
          <w:lang w:val="en-US" w:eastAsia="zh-CN" w:bidi="ar-SA"/>
        </w:rPr>
        <w:t>六、</w:t>
      </w:r>
      <w:r>
        <w:rPr>
          <w:rFonts w:hint="eastAsia" w:ascii="仿宋_GB2312" w:hAnsi="仿宋_GB2312" w:eastAsia="仿宋_GB2312" w:cs="仿宋_GB2312"/>
          <w:b/>
          <w:bCs/>
          <w:color w:val="auto"/>
          <w:kern w:val="2"/>
          <w:sz w:val="20"/>
          <w:szCs w:val="20"/>
          <w:highlight w:val="none"/>
          <w:lang w:val="en-US" w:eastAsia="zh-CN" w:bidi="ar-SA"/>
        </w:rPr>
        <w:t>服务期限及结算方式</w:t>
      </w:r>
    </w:p>
    <w:p w14:paraId="5959D583">
      <w:pPr>
        <w:keepNext w:val="0"/>
        <w:keepLines w:val="0"/>
        <w:pageBreakBefore w:val="0"/>
        <w:widowControl w:val="0"/>
        <w:kinsoku/>
        <w:wordWrap/>
        <w:overflowPunct/>
        <w:topLinePunct w:val="0"/>
        <w:autoSpaceDE/>
        <w:autoSpaceDN/>
        <w:bidi w:val="0"/>
        <w:adjustRightInd/>
        <w:spacing w:line="360" w:lineRule="auto"/>
        <w:ind w:left="0" w:leftChars="0" w:firstLine="400" w:firstLineChars="200"/>
        <w:jc w:val="both"/>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highlight w:val="none"/>
          <w:lang w:val="en-US" w:eastAsia="zh-CN" w:bidi="ar-SA"/>
        </w:rPr>
        <w:t>1、绿化养护及环境保洁服务费用：如管理范围或时间发生变化，甲乙双方协商结算。甲方定期或不定期对乙方的管理服务工作进行检查考核评定，对于服务质量不能达到要</w:t>
      </w:r>
      <w:r>
        <w:rPr>
          <w:rFonts w:hint="eastAsia" w:ascii="仿宋_GB2312" w:hAnsi="仿宋_GB2312" w:eastAsia="仿宋_GB2312" w:cs="仿宋_GB2312"/>
          <w:color w:val="auto"/>
          <w:kern w:val="0"/>
          <w:sz w:val="20"/>
          <w:szCs w:val="20"/>
          <w:lang w:val="en-US" w:eastAsia="zh-CN" w:bidi="ar-SA"/>
        </w:rPr>
        <w:t>求者，甲方有权扣减相关费用，甲方于每个月根据乙方出具的结算票据，支付乙方上一月服务费。</w:t>
      </w:r>
    </w:p>
    <w:p w14:paraId="68D00CB0">
      <w:pPr>
        <w:keepNext w:val="0"/>
        <w:keepLines w:val="0"/>
        <w:pageBreakBefore w:val="0"/>
        <w:widowControl w:val="0"/>
        <w:kinsoku/>
        <w:wordWrap/>
        <w:overflowPunct/>
        <w:topLinePunct w:val="0"/>
        <w:autoSpaceDE/>
        <w:autoSpaceDN/>
        <w:bidi w:val="0"/>
        <w:adjustRightInd/>
        <w:spacing w:line="360" w:lineRule="auto"/>
        <w:ind w:left="0" w:leftChars="0" w:firstLine="400" w:firstLineChars="200"/>
        <w:jc w:val="both"/>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2、付款方式为：</w:t>
      </w:r>
      <w:r>
        <w:rPr>
          <w:rFonts w:hint="eastAsia" w:ascii="仿宋_GB2312" w:hAnsi="仿宋_GB2312" w:eastAsia="仿宋_GB2312" w:cs="仿宋_GB2312"/>
          <w:color w:val="auto"/>
          <w:kern w:val="0"/>
          <w:sz w:val="20"/>
          <w:szCs w:val="20"/>
          <w:u w:val="single"/>
          <w:lang w:val="en-US" w:eastAsia="zh-CN" w:bidi="ar-SA"/>
        </w:rPr>
        <w:t>银行转账</w:t>
      </w:r>
      <w:r>
        <w:rPr>
          <w:rFonts w:hint="eastAsia" w:ascii="仿宋_GB2312" w:hAnsi="仿宋_GB2312" w:eastAsia="仿宋_GB2312" w:cs="仿宋_GB2312"/>
          <w:color w:val="auto"/>
          <w:kern w:val="0"/>
          <w:sz w:val="20"/>
          <w:szCs w:val="20"/>
          <w:lang w:val="en-US" w:eastAsia="zh-CN" w:bidi="ar-SA"/>
        </w:rPr>
        <w:t>；</w:t>
      </w:r>
    </w:p>
    <w:p w14:paraId="5E27D280">
      <w:pPr>
        <w:keepNext w:val="0"/>
        <w:keepLines w:val="0"/>
        <w:pageBreakBefore w:val="0"/>
        <w:widowControl w:val="0"/>
        <w:kinsoku/>
        <w:wordWrap/>
        <w:overflowPunct/>
        <w:topLinePunct w:val="0"/>
        <w:autoSpaceDE/>
        <w:autoSpaceDN/>
        <w:bidi w:val="0"/>
        <w:adjustRightInd/>
        <w:spacing w:line="360" w:lineRule="auto"/>
        <w:ind w:left="0" w:leftChars="0" w:firstLine="400" w:firstLineChars="200"/>
        <w:jc w:val="both"/>
        <w:rPr>
          <w:rFonts w:hint="eastAsia" w:ascii="仿宋_GB2312" w:hAnsi="仿宋_GB2312" w:eastAsia="仿宋_GB2312" w:cs="仿宋_GB2312"/>
          <w:color w:val="auto"/>
          <w:kern w:val="0"/>
          <w:sz w:val="20"/>
          <w:szCs w:val="20"/>
          <w:highlight w:val="none"/>
          <w:lang w:val="en-US" w:eastAsia="zh-CN" w:bidi="ar-SA"/>
        </w:rPr>
      </w:pPr>
      <w:r>
        <w:rPr>
          <w:rFonts w:hint="eastAsia" w:ascii="仿宋_GB2312" w:hAnsi="仿宋_GB2312" w:eastAsia="仿宋_GB2312" w:cs="仿宋_GB2312"/>
          <w:color w:val="auto"/>
          <w:kern w:val="0"/>
          <w:sz w:val="20"/>
          <w:szCs w:val="20"/>
          <w:lang w:val="en-US" w:eastAsia="zh-CN" w:bidi="ar-SA"/>
        </w:rPr>
        <w:t>3、如因乙方管理不善而造成设施、设备损坏，可以修复的直接在当月服务费中扣除修理费用，无法修复的按其</w:t>
      </w:r>
      <w:r>
        <w:rPr>
          <w:rFonts w:hint="eastAsia" w:ascii="仿宋_GB2312" w:hAnsi="仿宋_GB2312" w:eastAsia="仿宋_GB2312" w:cs="仿宋_GB2312"/>
          <w:color w:val="auto"/>
          <w:kern w:val="0"/>
          <w:sz w:val="20"/>
          <w:szCs w:val="20"/>
          <w:highlight w:val="none"/>
          <w:lang w:val="en-US" w:eastAsia="zh-CN" w:bidi="ar-SA"/>
        </w:rPr>
        <w:t>原价在当月服务费中扣除相关费用，以保证设施和设备的完好率。</w:t>
      </w:r>
    </w:p>
    <w:p w14:paraId="05AACBB3">
      <w:pPr>
        <w:keepNext w:val="0"/>
        <w:keepLines w:val="0"/>
        <w:pageBreakBefore w:val="0"/>
        <w:widowControl w:val="0"/>
        <w:kinsoku/>
        <w:wordWrap/>
        <w:overflowPunct/>
        <w:topLinePunct w:val="0"/>
        <w:autoSpaceDE/>
        <w:autoSpaceDN/>
        <w:bidi w:val="0"/>
        <w:adjustRightInd/>
        <w:spacing w:line="360" w:lineRule="auto"/>
        <w:ind w:left="0" w:leftChars="0" w:firstLine="400" w:firstLineChars="200"/>
        <w:jc w:val="both"/>
        <w:rPr>
          <w:rFonts w:hint="eastAsia" w:ascii="仿宋_GB2312" w:hAnsi="仿宋_GB2312" w:eastAsia="仿宋_GB2312" w:cs="仿宋_GB2312"/>
          <w:color w:val="auto"/>
          <w:kern w:val="0"/>
          <w:sz w:val="20"/>
          <w:szCs w:val="20"/>
          <w:highlight w:val="none"/>
          <w:lang w:val="en-US" w:eastAsia="zh-CN" w:bidi="ar-SA"/>
        </w:rPr>
      </w:pPr>
      <w:r>
        <w:rPr>
          <w:rFonts w:hint="eastAsia" w:ascii="仿宋_GB2312" w:hAnsi="仿宋_GB2312" w:eastAsia="仿宋_GB2312" w:cs="仿宋_GB2312"/>
          <w:color w:val="auto"/>
          <w:kern w:val="0"/>
          <w:sz w:val="20"/>
          <w:szCs w:val="20"/>
          <w:highlight w:val="none"/>
          <w:lang w:val="en-US" w:eastAsia="zh-CN" w:bidi="ar-SA"/>
        </w:rPr>
        <w:t>4、出现管理不善引发的安全问题（失窃、火灾等），公园责令整改，造成严重后果的将终止合同。</w:t>
      </w:r>
    </w:p>
    <w:p w14:paraId="08BA79D7">
      <w:pPr>
        <w:keepNext w:val="0"/>
        <w:keepLines w:val="0"/>
        <w:pageBreakBefore w:val="0"/>
        <w:widowControl w:val="0"/>
        <w:kinsoku/>
        <w:wordWrap/>
        <w:overflowPunct/>
        <w:topLinePunct w:val="0"/>
        <w:autoSpaceDE/>
        <w:autoSpaceDN/>
        <w:bidi w:val="0"/>
        <w:adjustRightInd/>
        <w:spacing w:line="360" w:lineRule="auto"/>
        <w:ind w:left="0" w:leftChars="0" w:firstLine="400" w:firstLineChars="200"/>
        <w:jc w:val="both"/>
        <w:rPr>
          <w:rFonts w:hint="eastAsia" w:ascii="仿宋_GB2312" w:hAnsi="仿宋_GB2312" w:eastAsia="仿宋_GB2312" w:cs="仿宋_GB2312"/>
          <w:color w:val="auto"/>
          <w:kern w:val="0"/>
          <w:sz w:val="20"/>
          <w:szCs w:val="20"/>
          <w:highlight w:val="none"/>
          <w:lang w:val="en-US" w:eastAsia="zh-CN" w:bidi="ar-SA"/>
        </w:rPr>
      </w:pPr>
      <w:r>
        <w:rPr>
          <w:rFonts w:hint="eastAsia" w:ascii="仿宋_GB2312" w:hAnsi="仿宋_GB2312" w:eastAsia="仿宋_GB2312" w:cs="仿宋_GB2312"/>
          <w:color w:val="auto"/>
          <w:kern w:val="0"/>
          <w:sz w:val="20"/>
          <w:szCs w:val="20"/>
          <w:highlight w:val="none"/>
          <w:lang w:val="en-US" w:eastAsia="zh-CN" w:bidi="ar-SA"/>
        </w:rPr>
        <w:t>5、服务期限：2026年7月1日--2026年12月31日</w:t>
      </w:r>
    </w:p>
    <w:p w14:paraId="798B7682">
      <w:pPr>
        <w:keepNext w:val="0"/>
        <w:keepLines w:val="0"/>
        <w:pageBreakBefore w:val="0"/>
        <w:widowControl w:val="0"/>
        <w:numPr>
          <w:ilvl w:val="0"/>
          <w:numId w:val="0"/>
        </w:numPr>
        <w:kinsoku/>
        <w:wordWrap/>
        <w:overflowPunct/>
        <w:topLinePunct w:val="0"/>
        <w:autoSpaceDE/>
        <w:autoSpaceDN/>
        <w:bidi w:val="0"/>
        <w:adjustRightInd/>
        <w:spacing w:line="360" w:lineRule="auto"/>
        <w:ind w:left="0" w:leftChars="0" w:firstLine="0" w:firstLineChars="0"/>
        <w:jc w:val="both"/>
        <w:rPr>
          <w:rFonts w:hint="eastAsia" w:ascii="仿宋_GB2312" w:hAnsi="仿宋_GB2312" w:eastAsia="仿宋_GB2312" w:cs="仿宋_GB2312"/>
          <w:b/>
          <w:bCs/>
          <w:color w:val="auto"/>
          <w:kern w:val="0"/>
          <w:sz w:val="20"/>
          <w:szCs w:val="20"/>
          <w:highlight w:val="none"/>
          <w:lang w:val="en-US" w:eastAsia="zh-CN" w:bidi="ar-SA"/>
        </w:rPr>
      </w:pPr>
      <w:r>
        <w:rPr>
          <w:rFonts w:hint="eastAsia" w:ascii="仿宋_GB2312" w:hAnsi="仿宋_GB2312" w:eastAsia="仿宋_GB2312" w:cs="仿宋_GB2312"/>
          <w:b/>
          <w:bCs/>
          <w:color w:val="auto"/>
          <w:kern w:val="0"/>
          <w:sz w:val="20"/>
          <w:szCs w:val="20"/>
          <w:lang w:val="en-US" w:eastAsia="zh-CN" w:bidi="ar-SA"/>
        </w:rPr>
        <w:t>七、</w:t>
      </w:r>
      <w:r>
        <w:rPr>
          <w:rFonts w:hint="eastAsia" w:ascii="仿宋_GB2312" w:hAnsi="仿宋_GB2312" w:eastAsia="仿宋_GB2312" w:cs="仿宋_GB2312"/>
          <w:b/>
          <w:bCs/>
          <w:color w:val="auto"/>
          <w:kern w:val="0"/>
          <w:sz w:val="20"/>
          <w:szCs w:val="20"/>
          <w:highlight w:val="none"/>
          <w:lang w:val="en-US" w:eastAsia="zh-CN" w:bidi="ar-SA"/>
        </w:rPr>
        <w:t>其他</w:t>
      </w:r>
    </w:p>
    <w:p w14:paraId="39C691B7">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1.</w:t>
      </w:r>
      <w:r>
        <w:rPr>
          <w:rFonts w:hint="eastAsia" w:ascii="仿宋_GB2312" w:hAnsi="仿宋_GB2312" w:eastAsia="仿宋_GB2312" w:cs="仿宋_GB2312"/>
          <w:color w:val="auto"/>
          <w:kern w:val="0"/>
          <w:sz w:val="20"/>
          <w:szCs w:val="20"/>
          <w:lang w:val="zh-CN" w:eastAsia="zh-CN" w:bidi="ar-SA"/>
        </w:rPr>
        <w:t>服务地点：</w:t>
      </w:r>
      <w:r>
        <w:rPr>
          <w:rFonts w:hint="eastAsia" w:ascii="仿宋_GB2312" w:hAnsi="仿宋_GB2312" w:eastAsia="仿宋_GB2312" w:cs="仿宋_GB2312"/>
          <w:color w:val="auto"/>
          <w:kern w:val="0"/>
          <w:sz w:val="20"/>
          <w:szCs w:val="20"/>
          <w:lang w:val="en-US" w:eastAsia="zh-CN" w:bidi="ar-SA"/>
        </w:rPr>
        <w:t>陕西省西安市新城区西五路53号。</w:t>
      </w:r>
    </w:p>
    <w:p w14:paraId="1E6FC086">
      <w:pPr>
        <w:keepNext w:val="0"/>
        <w:keepLines w:val="0"/>
        <w:pageBreakBefore w:val="0"/>
        <w:widowControl w:val="0"/>
        <w:kinsoku/>
        <w:wordWrap/>
        <w:overflowPunct/>
        <w:topLinePunct w:val="0"/>
        <w:autoSpaceDE/>
        <w:autoSpaceDN/>
        <w:bidi w:val="0"/>
        <w:adjustRightInd/>
        <w:spacing w:line="360" w:lineRule="auto"/>
        <w:ind w:firstLine="400" w:firstLineChars="200"/>
        <w:jc w:val="both"/>
        <w:rPr>
          <w:rFonts w:hint="eastAsia" w:ascii="仿宋_GB2312" w:hAnsi="仿宋_GB2312" w:eastAsia="仿宋_GB2312" w:cs="仿宋_GB2312"/>
          <w:color w:val="auto"/>
          <w:kern w:val="0"/>
          <w:sz w:val="20"/>
          <w:szCs w:val="20"/>
        </w:rPr>
      </w:pPr>
      <w:r>
        <w:rPr>
          <w:rFonts w:hint="eastAsia" w:ascii="仿宋_GB2312" w:hAnsi="仿宋_GB2312" w:eastAsia="仿宋_GB2312" w:cs="仿宋_GB2312"/>
          <w:color w:val="auto"/>
          <w:kern w:val="0"/>
          <w:sz w:val="20"/>
          <w:szCs w:val="20"/>
        </w:rPr>
        <w:t>2.承包方在承包期间，须为其员工办理相关用工手续，并签订劳动合同依法缴纳社保，如用工手续不完善、不合法，造成的一切后果均由承包方负责。</w:t>
      </w:r>
    </w:p>
    <w:p w14:paraId="610A2047">
      <w:pPr>
        <w:keepNext w:val="0"/>
        <w:keepLines w:val="0"/>
        <w:pageBreakBefore w:val="0"/>
        <w:widowControl w:val="0"/>
        <w:kinsoku/>
        <w:wordWrap/>
        <w:overflowPunct/>
        <w:topLinePunct w:val="0"/>
        <w:autoSpaceDE/>
        <w:autoSpaceDN/>
        <w:bidi w:val="0"/>
        <w:adjustRightInd/>
        <w:spacing w:line="360" w:lineRule="auto"/>
        <w:ind w:firstLine="440"/>
        <w:jc w:val="both"/>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3.服务期间，需按照采购人的要求完成工作。</w:t>
      </w:r>
    </w:p>
    <w:p w14:paraId="741A950B">
      <w:pPr>
        <w:keepNext w:val="0"/>
        <w:keepLines w:val="0"/>
        <w:pageBreakBefore w:val="0"/>
        <w:widowControl w:val="0"/>
        <w:kinsoku/>
        <w:wordWrap/>
        <w:overflowPunct/>
        <w:topLinePunct w:val="0"/>
        <w:autoSpaceDE/>
        <w:autoSpaceDN/>
        <w:bidi w:val="0"/>
        <w:adjustRightInd/>
        <w:spacing w:line="360" w:lineRule="auto"/>
        <w:ind w:firstLine="440"/>
        <w:jc w:val="both"/>
        <w:rPr>
          <w:rFonts w:hint="eastAsia" w:ascii="仿宋_GB2312" w:hAnsi="仿宋_GB2312" w:eastAsia="仿宋_GB2312" w:cs="仿宋_GB2312"/>
          <w:color w:val="auto"/>
          <w:kern w:val="0"/>
          <w:sz w:val="20"/>
          <w:szCs w:val="20"/>
          <w:lang w:val="en-US" w:eastAsia="zh-CN" w:bidi="ar-SA"/>
        </w:rPr>
      </w:pPr>
      <w:r>
        <w:rPr>
          <w:rFonts w:hint="eastAsia" w:ascii="仿宋_GB2312" w:hAnsi="仿宋_GB2312" w:eastAsia="仿宋_GB2312" w:cs="仿宋_GB2312"/>
          <w:color w:val="auto"/>
          <w:kern w:val="0"/>
          <w:sz w:val="20"/>
          <w:szCs w:val="20"/>
          <w:lang w:val="en-US" w:eastAsia="zh-CN" w:bidi="ar-SA"/>
        </w:rPr>
        <w:t>4.园区工作符合实施相关环保要求。</w:t>
      </w:r>
    </w:p>
    <w:p w14:paraId="5BAF1F78">
      <w:pPr>
        <w:keepNext w:val="0"/>
        <w:keepLines w:val="0"/>
        <w:pageBreakBefore w:val="0"/>
        <w:widowControl/>
        <w:kinsoku/>
        <w:wordWrap/>
        <w:overflowPunct/>
        <w:topLinePunct w:val="0"/>
        <w:autoSpaceDE/>
        <w:autoSpaceDN/>
        <w:bidi w:val="0"/>
        <w:adjustRightInd/>
        <w:spacing w:line="360" w:lineRule="auto"/>
        <w:ind w:firstLine="400" w:firstLineChars="200"/>
        <w:jc w:val="left"/>
        <w:outlineLvl w:val="0"/>
        <w:rPr>
          <w:rFonts w:hint="eastAsia" w:ascii="仿宋_GB2312" w:hAnsi="仿宋_GB2312" w:eastAsia="仿宋_GB2312" w:cs="仿宋_GB2312"/>
          <w:color w:val="auto"/>
          <w:kern w:val="0"/>
          <w:sz w:val="20"/>
          <w:szCs w:val="20"/>
          <w:highlight w:val="none"/>
          <w:lang w:val="en-US" w:eastAsia="zh-CN" w:bidi="ar-SA"/>
        </w:rPr>
      </w:pPr>
      <w:bookmarkStart w:id="0" w:name="_Toc20251"/>
      <w:r>
        <w:rPr>
          <w:rFonts w:hint="eastAsia" w:ascii="仿宋_GB2312" w:hAnsi="仿宋_GB2312" w:eastAsia="仿宋_GB2312" w:cs="仿宋_GB2312"/>
          <w:color w:val="auto"/>
          <w:kern w:val="0"/>
          <w:sz w:val="20"/>
          <w:szCs w:val="20"/>
          <w:highlight w:val="none"/>
          <w:lang w:val="en-US" w:eastAsia="zh-CN" w:bidi="ar-SA"/>
        </w:rPr>
        <w:t>5.公众责任险由采购人购买。</w:t>
      </w:r>
      <w:bookmarkEnd w:id="0"/>
    </w:p>
    <w:p w14:paraId="3200F7FA">
      <w:pPr>
        <w:keepNext w:val="0"/>
        <w:keepLines w:val="0"/>
        <w:pageBreakBefore w:val="0"/>
        <w:widowControl/>
        <w:kinsoku/>
        <w:wordWrap/>
        <w:overflowPunct/>
        <w:topLinePunct w:val="0"/>
        <w:autoSpaceDE/>
        <w:autoSpaceDN/>
        <w:bidi w:val="0"/>
        <w:adjustRightInd/>
        <w:spacing w:line="360" w:lineRule="auto"/>
        <w:ind w:firstLine="400" w:firstLineChars="200"/>
        <w:jc w:val="left"/>
        <w:outlineLvl w:val="0"/>
        <w:rPr>
          <w:rFonts w:hint="eastAsia" w:ascii="仿宋_GB2312" w:hAnsi="仿宋_GB2312" w:eastAsia="仿宋_GB2312" w:cs="仿宋_GB2312"/>
          <w:color w:val="auto"/>
          <w:kern w:val="0"/>
          <w:sz w:val="20"/>
          <w:szCs w:val="20"/>
          <w:lang w:val="en-US" w:eastAsia="zh-CN" w:bidi="ar-SA"/>
        </w:rPr>
      </w:pPr>
      <w:bookmarkStart w:id="1" w:name="_Toc19289"/>
      <w:r>
        <w:rPr>
          <w:rFonts w:hint="eastAsia" w:ascii="仿宋_GB2312" w:hAnsi="仿宋_GB2312" w:eastAsia="仿宋_GB2312" w:cs="仿宋_GB2312"/>
          <w:color w:val="auto"/>
          <w:kern w:val="0"/>
          <w:sz w:val="20"/>
          <w:szCs w:val="20"/>
          <w:lang w:val="en-US" w:eastAsia="zh-CN" w:bidi="ar-SA"/>
        </w:rPr>
        <w:t>6.乙方提供的上岗人员需身体健康、无重大疾病，能正常完成工作任务。</w:t>
      </w:r>
      <w:bookmarkEnd w:id="1"/>
    </w:p>
    <w:p w14:paraId="053F7F6C">
      <w:pPr>
        <w:keepNext w:val="0"/>
        <w:keepLines w:val="0"/>
        <w:pageBreakBefore w:val="0"/>
        <w:widowControl/>
        <w:kinsoku/>
        <w:wordWrap/>
        <w:overflowPunct/>
        <w:topLinePunct w:val="0"/>
        <w:autoSpaceDE/>
        <w:autoSpaceDN/>
        <w:bidi w:val="0"/>
        <w:adjustRightInd/>
        <w:spacing w:line="360" w:lineRule="auto"/>
        <w:ind w:firstLine="400" w:firstLineChars="200"/>
        <w:jc w:val="left"/>
        <w:outlineLvl w:val="0"/>
        <w:rPr>
          <w:rFonts w:hint="eastAsia" w:ascii="仿宋_GB2312" w:hAnsi="仿宋_GB2312" w:eastAsia="仿宋_GB2312" w:cs="仿宋_GB2312"/>
          <w:b/>
          <w:bCs/>
          <w:color w:val="auto"/>
          <w:kern w:val="0"/>
          <w:sz w:val="20"/>
          <w:szCs w:val="20"/>
          <w:highlight w:val="none"/>
          <w:lang w:val="en-US" w:eastAsia="zh-CN" w:bidi="ar-SA"/>
        </w:rPr>
      </w:pPr>
      <w:r>
        <w:rPr>
          <w:rFonts w:hint="eastAsia" w:ascii="仿宋_GB2312" w:hAnsi="仿宋_GB2312" w:eastAsia="仿宋_GB2312" w:cs="仿宋_GB2312"/>
          <w:color w:val="auto"/>
          <w:kern w:val="0"/>
          <w:sz w:val="20"/>
          <w:szCs w:val="20"/>
          <w:highlight w:val="none"/>
          <w:lang w:val="en-US" w:eastAsia="zh-CN" w:bidi="ar-SA"/>
        </w:rPr>
        <w:t>7.乙方在合作期间，依据《中华人民共和国劳动法》及西安市城市管理和综合执法局的相关通知，对一线作业的工作人员，开展慰问活动。</w:t>
      </w:r>
    </w:p>
    <w:p w14:paraId="4B419E62">
      <w:pPr>
        <w:keepNext w:val="0"/>
        <w:keepLines w:val="0"/>
        <w:pageBreakBefore w:val="0"/>
        <w:widowControl w:val="0"/>
        <w:kinsoku/>
        <w:wordWrap/>
        <w:overflowPunct/>
        <w:topLinePunct w:val="0"/>
        <w:autoSpaceDE/>
        <w:autoSpaceDN/>
        <w:bidi w:val="0"/>
        <w:adjustRightInd/>
        <w:snapToGrid w:val="0"/>
        <w:spacing w:line="360" w:lineRule="auto"/>
        <w:ind w:left="0" w:leftChars="0" w:firstLine="402" w:firstLineChars="200"/>
        <w:jc w:val="both"/>
        <w:rPr>
          <w:rFonts w:hint="eastAsia" w:ascii="仿宋_GB2312" w:hAnsi="仿宋_GB2312" w:eastAsia="仿宋_GB2312" w:cs="仿宋_GB2312"/>
          <w:b/>
          <w:bCs/>
          <w:color w:val="auto"/>
          <w:kern w:val="0"/>
          <w:sz w:val="20"/>
          <w:szCs w:val="20"/>
          <w:highlight w:val="none"/>
          <w:lang w:val="en-US" w:eastAsia="zh-CN" w:bidi="ar-SA"/>
        </w:rPr>
      </w:pPr>
      <w:r>
        <w:rPr>
          <w:rFonts w:hint="eastAsia" w:ascii="仿宋_GB2312" w:hAnsi="仿宋_GB2312" w:eastAsia="仿宋_GB2312" w:cs="仿宋_GB2312"/>
          <w:b/>
          <w:bCs/>
          <w:color w:val="auto"/>
          <w:kern w:val="0"/>
          <w:sz w:val="20"/>
          <w:szCs w:val="20"/>
          <w:highlight w:val="none"/>
          <w:lang w:val="en-US" w:eastAsia="zh-CN" w:bidi="ar-SA"/>
        </w:rPr>
        <w:t>☆八、风险管控机制要求</w:t>
      </w:r>
    </w:p>
    <w:p w14:paraId="22FED5FF">
      <w:pPr>
        <w:keepNext w:val="0"/>
        <w:keepLines w:val="0"/>
        <w:pageBreakBefore w:val="0"/>
        <w:widowControl w:val="0"/>
        <w:kinsoku/>
        <w:wordWrap/>
        <w:overflowPunct/>
        <w:topLinePunct w:val="0"/>
        <w:autoSpaceDE/>
        <w:autoSpaceDN/>
        <w:bidi w:val="0"/>
        <w:adjustRightInd/>
        <w:snapToGrid w:val="0"/>
        <w:spacing w:line="360" w:lineRule="auto"/>
        <w:ind w:left="0" w:leftChars="0" w:firstLine="402" w:firstLineChars="200"/>
        <w:jc w:val="both"/>
        <w:rPr>
          <w:rFonts w:hint="eastAsia" w:ascii="仿宋_GB2312" w:hAnsi="仿宋_GB2312" w:eastAsia="仿宋_GB2312" w:cs="仿宋_GB2312"/>
          <w:b/>
          <w:bCs/>
          <w:color w:val="auto"/>
          <w:kern w:val="0"/>
          <w:sz w:val="20"/>
          <w:szCs w:val="20"/>
          <w:highlight w:val="none"/>
          <w:lang w:val="en-US" w:eastAsia="zh-CN" w:bidi="ar-SA"/>
        </w:rPr>
      </w:pPr>
      <w:r>
        <w:rPr>
          <w:rFonts w:hint="eastAsia" w:ascii="仿宋_GB2312" w:hAnsi="仿宋_GB2312" w:eastAsia="仿宋_GB2312" w:cs="仿宋_GB2312"/>
          <w:b/>
          <w:bCs/>
          <w:color w:val="auto"/>
          <w:kern w:val="0"/>
          <w:sz w:val="20"/>
          <w:szCs w:val="20"/>
          <w:highlight w:val="none"/>
          <w:lang w:val="en-US" w:eastAsia="zh-CN" w:bidi="ar-SA"/>
        </w:rPr>
        <w:t>认真落实市安委办《关于进一步加强企业安全风险分级管控和隐患排查治理双重预防机制建设的实施意见》(市安委会发[2023]7号)和《关于做好2026年度城市安全风险点危险源分级管控和隐患排查治理双重预防机制建设工作的通知》(市安委办发〔2025]8号)要求，扎实推进全市城管执法领域城市安全风险分级管控和隐患排查治理双重预防机制建设工作，有效管控安全风险，及时消除事故隐患。</w:t>
      </w:r>
    </w:p>
    <w:p w14:paraId="7C70A07C">
      <w:pPr>
        <w:keepNext w:val="0"/>
        <w:keepLines w:val="0"/>
        <w:pageBreakBefore w:val="0"/>
        <w:widowControl w:val="0"/>
        <w:kinsoku/>
        <w:wordWrap/>
        <w:overflowPunct/>
        <w:topLinePunct w:val="0"/>
        <w:autoSpaceDE/>
        <w:autoSpaceDN/>
        <w:bidi w:val="0"/>
        <w:adjustRightInd/>
        <w:snapToGrid w:val="0"/>
        <w:spacing w:line="360" w:lineRule="auto"/>
        <w:ind w:left="0" w:leftChars="0" w:firstLine="402" w:firstLineChars="200"/>
        <w:jc w:val="both"/>
        <w:rPr>
          <w:rFonts w:hint="eastAsia" w:ascii="仿宋_GB2312" w:hAnsi="仿宋_GB2312" w:eastAsia="仿宋_GB2312" w:cs="仿宋_GB2312"/>
          <w:b/>
          <w:bCs/>
          <w:color w:val="auto"/>
          <w:kern w:val="0"/>
          <w:sz w:val="20"/>
          <w:szCs w:val="20"/>
          <w:highlight w:val="none"/>
          <w:lang w:val="en-US" w:eastAsia="zh-CN" w:bidi="ar-SA"/>
        </w:rPr>
      </w:pPr>
      <w:r>
        <w:rPr>
          <w:rFonts w:hint="eastAsia" w:ascii="仿宋_GB2312" w:hAnsi="仿宋_GB2312" w:eastAsia="仿宋_GB2312" w:cs="仿宋_GB2312"/>
          <w:b/>
          <w:bCs/>
          <w:color w:val="auto"/>
          <w:kern w:val="0"/>
          <w:sz w:val="20"/>
          <w:szCs w:val="20"/>
          <w:highlight w:val="none"/>
          <w:lang w:val="en-US" w:eastAsia="zh-CN" w:bidi="ar-SA"/>
        </w:rPr>
        <w:t>对负责管护园林绿化的企业经营单位双重预防机制建设情况进行全面检查，将企业是否建立并运行双重预防机制作为管护项目招标考察内容，严禁安全生产条件不达标的生产经营单位参与园林绿化管护项目。</w:t>
      </w:r>
    </w:p>
    <w:p w14:paraId="0EB1B0CD">
      <w:pPr>
        <w:keepNext w:val="0"/>
        <w:keepLines w:val="0"/>
        <w:pageBreakBefore w:val="0"/>
        <w:widowControl w:val="0"/>
        <w:kinsoku/>
        <w:wordWrap/>
        <w:overflowPunct/>
        <w:topLinePunct w:val="0"/>
        <w:autoSpaceDE/>
        <w:autoSpaceDN/>
        <w:bidi w:val="0"/>
        <w:adjustRightInd/>
        <w:snapToGrid w:val="0"/>
        <w:spacing w:line="360" w:lineRule="auto"/>
        <w:ind w:left="0" w:leftChars="0" w:firstLine="402" w:firstLineChars="200"/>
        <w:jc w:val="both"/>
        <w:rPr>
          <w:rFonts w:hint="eastAsia" w:ascii="仿宋_GB2312" w:hAnsi="仿宋_GB2312" w:eastAsia="仿宋_GB2312" w:cs="仿宋_GB2312"/>
          <w:b/>
          <w:bCs/>
          <w:color w:val="auto"/>
          <w:kern w:val="0"/>
          <w:sz w:val="20"/>
          <w:szCs w:val="20"/>
          <w:highlight w:val="none"/>
          <w:lang w:val="en-US" w:eastAsia="zh-CN" w:bidi="ar-SA"/>
        </w:rPr>
      </w:pPr>
      <w:r>
        <w:rPr>
          <w:rFonts w:hint="eastAsia" w:ascii="仿宋_GB2312" w:hAnsi="仿宋_GB2312" w:eastAsia="仿宋_GB2312" w:cs="仿宋_GB2312"/>
          <w:b/>
          <w:bCs/>
          <w:color w:val="auto"/>
          <w:kern w:val="0"/>
          <w:sz w:val="20"/>
          <w:szCs w:val="20"/>
          <w:highlight w:val="none"/>
          <w:lang w:val="en-US" w:eastAsia="zh-CN" w:bidi="ar-SA"/>
        </w:rPr>
        <w:t>对负责城市绿地建设方面，对在建绿地建设项目及相关施工企业双重预防机制建设情况进行全面检查，将企业是否建立并运行双重预防机制作为项目招标考察内容，严禁安全生产条件不达标的生产经营单位参与城市绿地建设项目。</w:t>
      </w:r>
    </w:p>
    <w:p w14:paraId="5DD9BE3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6FFD8D"/>
    <w:multiLevelType w:val="singleLevel"/>
    <w:tmpl w:val="FE6FFD8D"/>
    <w:lvl w:ilvl="0" w:tentative="0">
      <w:start w:val="1"/>
      <w:numFmt w:val="decimal"/>
      <w:suff w:val="nothing"/>
      <w:lvlText w:val="%1）"/>
      <w:lvlJc w:val="left"/>
    </w:lvl>
  </w:abstractNum>
  <w:abstractNum w:abstractNumId="1">
    <w:nsid w:val="27EE7C11"/>
    <w:multiLevelType w:val="singleLevel"/>
    <w:tmpl w:val="27EE7C11"/>
    <w:lvl w:ilvl="0" w:tentative="0">
      <w:start w:val="6"/>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A82302"/>
    <w:rsid w:val="22F917F3"/>
    <w:rsid w:val="59A82302"/>
    <w:rsid w:val="6B754EA0"/>
    <w:rsid w:val="7CE36E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outlineLvl w:val="0"/>
    </w:pPr>
    <w:rPr>
      <w:rFonts w:ascii="Times New Roman" w:hAnsi="Times New Roman" w:eastAsia="宋体" w:cs="Times New Roman"/>
      <w:b/>
      <w:kern w:val="44"/>
      <w:sz w:val="44"/>
    </w:rPr>
  </w:style>
  <w:style w:type="paragraph" w:styleId="3">
    <w:name w:val="heading 2"/>
    <w:basedOn w:val="1"/>
    <w:next w:val="1"/>
    <w:semiHidden/>
    <w:unhideWhenUsed/>
    <w:qFormat/>
    <w:uiPriority w:val="0"/>
    <w:pPr>
      <w:keepNext/>
      <w:keepLines/>
      <w:spacing w:line="360" w:lineRule="auto"/>
      <w:jc w:val="left"/>
      <w:outlineLvl w:val="1"/>
    </w:pPr>
    <w:rPr>
      <w:rFonts w:ascii="Arial" w:hAnsi="Arial" w:eastAsia="宋体" w:cs="宋体"/>
      <w:b/>
      <w:sz w:val="28"/>
      <w:szCs w:val="28"/>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table" w:styleId="5">
    <w:name w:val="Table Grid"/>
    <w:basedOn w:val="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2026-06-09T09:03:00Z</dcterms:created>
  <dc:creator>Administrator</dc:creator>
  <cp:lastModifiedBy>Administrator</cp:lastModifiedBy>
  <dcterms:modified xsi:type="dcterms:W3CDTF">2026-06-09T09:03:52Z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6C20A550F4594B0BBE419BF624114DDB_11</vt:lpwstr>
  </property>
  <property fmtid="{D5CDD505-2E9C-101B-9397-08002B2CF9AE}" pid="4" name="KSOTemplateDocerSaveRecord">
    <vt:lpwstr>eyJoZGlkIjoiOWFmYWM5NjgyZjllZjQ4OWM2OTRjMDc3ZjJhZmRjZGQiLCJ1c2VySWQiOiI5ODEzNTIxNjEifQ==</vt:lpwstr>
  </property>
</Properties>
</file>