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版本号：HXCT-2026-028号20260805001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韩城职专双示范创建专业实训室建设项目-短视频制作实训室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HXCT-2026-028号</w:t>
      </w:r>
      <w:r>
        <w:br/>
      </w:r>
      <w:r>
        <w:br/>
      </w:r>
      <w:r>
        <w:br/>
      </w:r>
    </w:p>
    <w:p>
      <w:pPr>
        <w:pStyle w:val="null3"/>
        <w:jc w:val="center"/>
        <w:outlineLvl w:val="2"/>
      </w:pPr>
      <w:r>
        <w:rPr>
          <w:rFonts w:ascii="仿宋_GB2312" w:hAnsi="仿宋_GB2312" w:cs="仿宋_GB2312" w:eastAsia="仿宋_GB2312"/>
          <w:sz w:val="28"/>
          <w:b/>
        </w:rPr>
        <w:t>韩城市职业中等专业学校</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韩城市职业中等专业学校</w:t>
      </w:r>
      <w:r>
        <w:rPr>
          <w:rFonts w:ascii="仿宋_GB2312" w:hAnsi="仿宋_GB2312" w:cs="仿宋_GB2312" w:eastAsia="仿宋_GB2312"/>
        </w:rPr>
        <w:t>委托，拟对</w:t>
      </w:r>
      <w:r>
        <w:rPr>
          <w:rFonts w:ascii="仿宋_GB2312" w:hAnsi="仿宋_GB2312" w:cs="仿宋_GB2312" w:eastAsia="仿宋_GB2312"/>
        </w:rPr>
        <w:t>韩城职专双示范创建专业实训室建设项目-短视频制作实训室</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HXCT-2026-028号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韩城职专双示范创建专业实训室建设项目-短视频制作实训室</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包括：短视频制作实训室硬件，短视频制作工作室资源库，短视频制作赛项提升培训，实训室环境提升及文化布置。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供应商授权合法的人员参加投标全过程：法定代表人直接参加投标，须提交法定代表人身份证明书和身份证。法定代表人授权代表参加投标的，须出具法定代表人授权书及法人和授权代表身份证及社保缴纳凭证</w:t>
      </w:r>
    </w:p>
    <w:p>
      <w:pPr>
        <w:pStyle w:val="null3"/>
      </w:pPr>
      <w:r>
        <w:rPr>
          <w:rFonts w:ascii="仿宋_GB2312" w:hAnsi="仿宋_GB2312" w:cs="仿宋_GB2312" w:eastAsia="仿宋_GB2312"/>
        </w:rPr>
        <w:t>3、财务状况报告：供应商提供2025年度的财务审计报告（至少包括资产负债表、利润表和现金流量表及财务状况说明），或其开标前三个月内基本存款账户开户银行出具的资信证明及基本存款账户开户许可证</w:t>
      </w:r>
    </w:p>
    <w:p>
      <w:pPr>
        <w:pStyle w:val="null3"/>
      </w:pPr>
      <w:r>
        <w:rPr>
          <w:rFonts w:ascii="仿宋_GB2312" w:hAnsi="仿宋_GB2312" w:cs="仿宋_GB2312" w:eastAsia="仿宋_GB2312"/>
        </w:rPr>
        <w:t>4、社会保障资金缴纳证明：提供开标时间前六个月内至少一个月的社会保障资金缴存单据或社保机构开具的社会保险参保缴费情况证明，依法不需要缴纳社会保障资金的单位应提供相关证明材料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6、供应商信用：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p>
      <w:pPr>
        <w:pStyle w:val="null3"/>
      </w:pPr>
      <w:r>
        <w:rPr>
          <w:rFonts w:ascii="仿宋_GB2312" w:hAnsi="仿宋_GB2312" w:cs="仿宋_GB2312" w:eastAsia="仿宋_GB2312"/>
        </w:rPr>
        <w:t>7、承诺：提供具有履行合同所必需的设备和专业技术能力的承诺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韩城市职业中等专业学校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韩城市新城区黄河大街北段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13720784172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韩城市西峙路与普照路十字德兴商务608室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0913-5207458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采购包1：622,001.64元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代理服务费收费标准：参照《国家计委印发&lt;招标代理服务费收取管理暂行办法 &gt;的通知》（计价格【2002】1980号）规定和《关于招标代理服务费收取有关问题的通知》（发改价格[2011]534号）规定标准下浮10％计取。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韩城市职业中等专业学校</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韩城市职业中等专业学校</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韩城市职业中等专业学校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联系人：田思</w:t>
      </w:r>
    </w:p>
    <w:p>
      <w:pPr>
        <w:pStyle w:val="null3"/>
      </w:pPr>
      <w:r>
        <w:rPr>
          <w:rFonts w:ascii="仿宋_GB2312" w:hAnsi="仿宋_GB2312" w:cs="仿宋_GB2312" w:eastAsia="仿宋_GB2312"/>
        </w:rPr>
        <w:t>联系电话：0913-5207458</w:t>
      </w:r>
    </w:p>
    <w:p>
      <w:pPr>
        <w:pStyle w:val="null3"/>
      </w:pPr>
      <w:r>
        <w:rPr>
          <w:rFonts w:ascii="仿宋_GB2312" w:hAnsi="仿宋_GB2312" w:cs="仿宋_GB2312" w:eastAsia="仿宋_GB2312"/>
        </w:rPr>
        <w:t>地址：韩城市西峙路与普照路十字德兴商务608室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包括：短视频制作实训室硬件，短视频制作工作室资源库，短视频制作赛项提升培训，实训室环境提升及文化布置。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622,001.64</w:t>
      </w:r>
    </w:p>
    <w:p>
      <w:pPr>
        <w:pStyle w:val="null3"/>
      </w:pPr>
      <w:r>
        <w:rPr>
          <w:rFonts w:ascii="仿宋_GB2312" w:hAnsi="仿宋_GB2312" w:cs="仿宋_GB2312" w:eastAsia="仿宋_GB2312"/>
        </w:rPr>
        <w:t>采购包最高限价（元）: 622,001.64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韩城职专双示范创建专业实训室建设项目-短视频制作实训室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622,001.64</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标的名称：韩城职专双示范创建专业实训室建设项目-短视频制作实训室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7"/>
              <w:gridCol w:w="405"/>
              <w:gridCol w:w="2305"/>
              <w:gridCol w:w="157"/>
              <w:gridCol w:w="154"/>
            </w:tblGrid>
            <w:tr>
              <w:tc>
                <w:tcPr>
                  <w:tcW w:type="dxa" w:w="15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0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30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5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57"/>
                  <w:vMerge/>
                  <w:tcBorders>
                    <w:top w:val="single" w:color="000000" w:sz="4"/>
                    <w:left w:val="single" w:color="000000" w:sz="4"/>
                    <w:bottom w:val="single" w:color="000000" w:sz="4"/>
                    <w:right w:val="single" w:color="000000" w:sz="4"/>
                  </w:tcBorders>
                </w:tcPr>
                <w:p/>
              </w:tc>
              <w:tc>
                <w:tcPr>
                  <w:tcW w:type="dxa" w:w="405"/>
                  <w:vMerge/>
                  <w:tcBorders>
                    <w:top w:val="single" w:color="000000" w:sz="4"/>
                    <w:left w:val="single" w:color="000000" w:sz="4"/>
                    <w:bottom w:val="single" w:color="000000" w:sz="4"/>
                    <w:right w:val="single" w:color="000000" w:sz="4"/>
                  </w:tcBorders>
                </w:tcPr>
                <w:p/>
              </w:tc>
              <w:tc>
                <w:tcPr>
                  <w:tcW w:type="dxa" w:w="2305"/>
                  <w:vMerge/>
                  <w:tcBorders>
                    <w:top w:val="single" w:color="000000" w:sz="4"/>
                    <w:left w:val="single" w:color="000000" w:sz="4"/>
                    <w:bottom w:val="single" w:color="000000" w:sz="4"/>
                    <w:right w:val="single" w:color="000000" w:sz="4"/>
                  </w:tcBorders>
                </w:tcPr>
                <w:p/>
              </w:tc>
              <w:tc>
                <w:tcPr>
                  <w:tcW w:type="dxa" w:w="157"/>
                  <w:vMerge/>
                  <w:tcBorders>
                    <w:top w:val="single" w:color="000000" w:sz="4"/>
                    <w:left w:val="single" w:color="000000" w:sz="4"/>
                    <w:bottom w:val="single" w:color="000000" w:sz="4"/>
                    <w:right w:val="single" w:color="000000" w:sz="4"/>
                  </w:tcBorders>
                </w:tcPr>
                <w:p/>
              </w:tc>
              <w:tc>
                <w:tcPr>
                  <w:tcW w:type="dxa" w:w="154"/>
                  <w:vMerge/>
                  <w:tcBorders>
                    <w:top w:val="single" w:color="000000" w:sz="4"/>
                    <w:left w:val="single" w:color="000000" w:sz="4"/>
                    <w:bottom w:val="single" w:color="000000" w:sz="4"/>
                    <w:right w:val="single" w:color="000000" w:sz="4"/>
                  </w:tcBorders>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短视频制作工作室资源库</w:t>
                  </w:r>
                  <w:r>
                    <w:rPr>
                      <w:rFonts w:ascii="仿宋_GB2312" w:hAnsi="仿宋_GB2312" w:cs="仿宋_GB2312" w:eastAsia="仿宋_GB2312"/>
                      <w:sz w:val="20"/>
                      <w:color w:val="000000"/>
                    </w:rPr>
                    <w:t>(核心产品)</w:t>
                  </w: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总体要求</w:t>
                  </w:r>
                  <w:r>
                    <w:br/>
                  </w:r>
                  <w:r>
                    <w:rPr>
                      <w:rFonts w:ascii="仿宋_GB2312" w:hAnsi="仿宋_GB2312" w:cs="仿宋_GB2312" w:eastAsia="仿宋_GB2312"/>
                      <w:sz w:val="20"/>
                      <w:color w:val="000000"/>
                    </w:rPr>
                    <w:t>1. 该资源库需要具备充足无争议版权素材，包括竞赛文件、模拟题库、字体、音乐、图片、视频、优秀作品和训练等内容。能够对素材库内素材按视频、音频、图片等不文件类型进行分类和标签管理，并支持关键词搜索，方便检索。资源库资源≥100 GB，能够保证教师和学生的竞赛训练要求。符合为适配职业院校短视频创作、新媒体运营技能大赛省赛、国赛备赛与考评标准，建设集竞赛标准、题库、高清实训视频、案例库、无版权素材、在线考评系统于一体的赛教融合标准化资源库，实现日常教学、集训备赛、模拟竞赛、在线考评一体化支撑。</w:t>
                  </w:r>
                  <w:r>
                    <w:br/>
                  </w:r>
                  <w:r>
                    <w:rPr>
                      <w:rFonts w:ascii="仿宋_GB2312" w:hAnsi="仿宋_GB2312" w:cs="仿宋_GB2312" w:eastAsia="仿宋_GB2312"/>
                      <w:sz w:val="20"/>
                      <w:color w:val="000000"/>
                    </w:rPr>
                    <w:t>2.素材管理及编制策划书：按照规定主题，完成短视频策划任务书编制。</w:t>
                  </w:r>
                  <w:r>
                    <w:br/>
                  </w:r>
                  <w:r>
                    <w:rPr>
                      <w:rFonts w:ascii="仿宋_GB2312" w:hAnsi="仿宋_GB2312" w:cs="仿宋_GB2312" w:eastAsia="仿宋_GB2312"/>
                      <w:sz w:val="20"/>
                      <w:color w:val="000000"/>
                    </w:rPr>
                    <w:t>3.制作短视频：根据提供的视频、图片、音乐、解说词等素材，使用规定软件剪辑合成竞赛要求制作的短视频，该短视频包括片头、正片和片尾。</w:t>
                  </w:r>
                  <w:r>
                    <w:br/>
                  </w:r>
                  <w:r>
                    <w:rPr>
                      <w:rFonts w:ascii="仿宋_GB2312" w:hAnsi="仿宋_GB2312" w:cs="仿宋_GB2312" w:eastAsia="仿宋_GB2312"/>
                      <w:sz w:val="20"/>
                      <w:color w:val="000000"/>
                    </w:rPr>
                    <w:t>4.制作反思：深度思考在策划任务书设计、短视频制作过程中的经验与不足，总结特色、亮点，查找存在问题，并提出改进措施。</w:t>
                  </w:r>
                  <w:r>
                    <w:br/>
                  </w:r>
                  <w:r>
                    <w:rPr>
                      <w:rFonts w:ascii="仿宋_GB2312" w:hAnsi="仿宋_GB2312" w:cs="仿宋_GB2312" w:eastAsia="仿宋_GB2312"/>
                      <w:sz w:val="20"/>
                      <w:color w:val="000000"/>
                    </w:rPr>
                    <w:t>5.教学标准：专业教学标准为教育部最新版，专业代码为当前最新专业代码。</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1）《中等职业学校广播影视节目制作专业教学标准》（专业代码：760202）</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2）《中等职业学校影像与影视技术专业教学标准》（专业代码：760203）</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3）《中等职业学校数字媒体技术应用专业教学标准》（专业代码710204）</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4）《中等职业学校计算机动漫与游戏制作专业教学标准》（专业代码：760203）</w:t>
                  </w:r>
                  <w:r>
                    <w:br/>
                  </w:r>
                  <w:r>
                    <w:rPr>
                      <w:rFonts w:ascii="仿宋_GB2312" w:hAnsi="仿宋_GB2312" w:cs="仿宋_GB2312" w:eastAsia="仿宋_GB2312"/>
                      <w:sz w:val="20"/>
                      <w:color w:val="000000"/>
                    </w:rPr>
                    <w:t>6.模拟比赛软件环境</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1）操作系统：Windows 10 （或以上）64 位中文版；</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2）视频剪辑/特效/音频/平面软件：支持PR/AE/AU/PS/AI同等功能专业影视后期软件，兼容主流工程文件，满足短视频国赛实训全流程制作需求</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3）视频播放软件：Quick Time中文版、QQ 影音或同等功能替代软件；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4）格式转码软件：格式工厂或同等功能替代软件；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5）输入法：QQ 拼音/五笔输入法。</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拓展功能</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本项目所有视频、素材、音频、模板、图文资源具备合法授权，可用于校内教学、实训、集训、技能竞赛、公开评审；</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资源库平台支持校园内网、外网访问，兼容国产浏览器、主流浏览器，无需安装客户端，支持</w:t>
                  </w:r>
                  <w:r>
                    <w:rPr>
                      <w:rFonts w:ascii="仿宋_GB2312" w:hAnsi="仿宋_GB2312" w:cs="仿宋_GB2312" w:eastAsia="仿宋_GB2312"/>
                      <w:sz w:val="20"/>
                      <w:color w:val="000000"/>
                    </w:rPr>
                    <w:t>PC端、手机端自适应访问。</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3）全部教学视频为 1080P、25fps、MP4格式、无任何水印、内嵌标准简体中文字幕、人声清晰无杂音。</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4）质保3年内，免费同步更新大赛题库、赛题、评分标准不少于2次，增补优化教学资源不少于1次，紧跟省赛、国赛最新规程。</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系统具备三级权限管控：管理员、教师、学生，可独立开关资源下载、作品上传、考试、评分、查看权限，支持自定义权限配置。</w:t>
                  </w:r>
                  <w:r>
                    <w:br/>
                  </w:r>
                  <w:r>
                    <w:rPr>
                      <w:rFonts w:ascii="仿宋_GB2312" w:hAnsi="仿宋_GB2312" w:cs="仿宋_GB2312" w:eastAsia="仿宋_GB2312"/>
                      <w:sz w:val="20"/>
                      <w:color w:val="000000"/>
                    </w:rPr>
                    <w:t>二、竞赛标准资源模块</w:t>
                  </w:r>
                  <w:r>
                    <w:br/>
                  </w:r>
                  <w:r>
                    <w:rPr>
                      <w:rFonts w:ascii="仿宋_GB2312" w:hAnsi="仿宋_GB2312" w:cs="仿宋_GB2312" w:eastAsia="仿宋_GB2312"/>
                      <w:sz w:val="20"/>
                      <w:color w:val="000000"/>
                    </w:rPr>
                    <w:t>1.收录近三年国家及省级职业院校短视频、新媒体、融媒体赛项官方竞赛规程完整版。</w:t>
                  </w:r>
                  <w:r>
                    <w:br/>
                  </w:r>
                  <w:r>
                    <w:rPr>
                      <w:rFonts w:ascii="仿宋_GB2312" w:hAnsi="仿宋_GB2312" w:cs="仿宋_GB2312" w:eastAsia="仿宋_GB2312"/>
                      <w:sz w:val="20"/>
                      <w:color w:val="000000"/>
                    </w:rPr>
                    <w:t>2.收录省赛、国赛真题≥10套，每套包含：原题、解说词、优秀创作思路解析。</w:t>
                  </w:r>
                  <w:r>
                    <w:br/>
                  </w:r>
                  <w:r>
                    <w:rPr>
                      <w:rFonts w:ascii="仿宋_GB2312" w:hAnsi="仿宋_GB2312" w:cs="仿宋_GB2312" w:eastAsia="仿宋_GB2312"/>
                      <w:sz w:val="20"/>
                      <w:color w:val="000000"/>
                    </w:rPr>
                    <w:t>3.交付全套可编辑教学赛事文档（Word+PDF双格式）：</w:t>
                  </w:r>
                  <w:r>
                    <w:br/>
                  </w:r>
                  <w:r>
                    <w:rPr>
                      <w:rFonts w:ascii="仿宋_GB2312" w:hAnsi="仿宋_GB2312" w:cs="仿宋_GB2312" w:eastAsia="仿宋_GB2312"/>
                      <w:sz w:val="20"/>
                      <w:color w:val="000000"/>
                    </w:rPr>
                    <w:t>•《短视频赛项备赛指导手册》</w:t>
                  </w:r>
                  <w:r>
                    <w:br/>
                  </w:r>
                  <w:r>
                    <w:rPr>
                      <w:rFonts w:ascii="仿宋_GB2312" w:hAnsi="仿宋_GB2312" w:cs="仿宋_GB2312" w:eastAsia="仿宋_GB2312"/>
                      <w:sz w:val="20"/>
                      <w:color w:val="000000"/>
                    </w:rPr>
                    <w:t>•《赛场设备与环境规范手册》</w:t>
                  </w:r>
                  <w:r>
                    <w:br/>
                  </w:r>
                  <w:r>
                    <w:rPr>
                      <w:rFonts w:ascii="仿宋_GB2312" w:hAnsi="仿宋_GB2312" w:cs="仿宋_GB2312" w:eastAsia="仿宋_GB2312"/>
                      <w:sz w:val="20"/>
                      <w:color w:val="000000"/>
                    </w:rPr>
                    <w:t>•《校内选拔赛组织实施方案模板》</w:t>
                  </w:r>
                  <w:r>
                    <w:br/>
                  </w:r>
                  <w:r>
                    <w:rPr>
                      <w:rFonts w:ascii="仿宋_GB2312" w:hAnsi="仿宋_GB2312" w:cs="仿宋_GB2312" w:eastAsia="仿宋_GB2312"/>
                      <w:sz w:val="20"/>
                      <w:color w:val="000000"/>
                    </w:rPr>
                    <w:t>•《参赛作品合规自查清单》</w:t>
                  </w:r>
                  <w:r>
                    <w:br/>
                  </w:r>
                  <w:r>
                    <w:rPr>
                      <w:rFonts w:ascii="仿宋_GB2312" w:hAnsi="仿宋_GB2312" w:cs="仿宋_GB2312" w:eastAsia="仿宋_GB2312"/>
                      <w:sz w:val="20"/>
                      <w:color w:val="000000"/>
                    </w:rPr>
                    <w:t>三、精品实训教学资源（固定数量、固定时长）</w:t>
                  </w:r>
                  <w:r>
                    <w:br/>
                  </w:r>
                  <w:r>
                    <w:rPr>
                      <w:rFonts w:ascii="仿宋_GB2312" w:hAnsi="仿宋_GB2312" w:cs="仿宋_GB2312" w:eastAsia="仿宋_GB2312"/>
                      <w:sz w:val="20"/>
                      <w:color w:val="000000"/>
                    </w:rPr>
                    <w:t>4.高清实操教学视频 ≥65节，总有效时长≥325分钟</w:t>
                  </w:r>
                  <w:r>
                    <w:br/>
                  </w:r>
                  <w:r>
                    <w:rPr>
                      <w:rFonts w:ascii="仿宋_GB2312" w:hAnsi="仿宋_GB2312" w:cs="仿宋_GB2312" w:eastAsia="仿宋_GB2312"/>
                      <w:sz w:val="20"/>
                      <w:color w:val="000000"/>
                    </w:rPr>
                    <w:t>5.内容配比硬性要求：</w:t>
                  </w:r>
                  <w:r>
                    <w:br/>
                  </w:r>
                  <w:r>
                    <w:rPr>
                      <w:rFonts w:ascii="仿宋_GB2312" w:hAnsi="仿宋_GB2312" w:cs="仿宋_GB2312" w:eastAsia="仿宋_GB2312"/>
                      <w:sz w:val="20"/>
                      <w:color w:val="000000"/>
                    </w:rPr>
                    <w:t>•要求内容具有摄影构图、运镜</w:t>
                  </w:r>
                  <w:r>
                    <w:br/>
                  </w:r>
                  <w:r>
                    <w:rPr>
                      <w:rFonts w:ascii="仿宋_GB2312" w:hAnsi="仿宋_GB2312" w:cs="仿宋_GB2312" w:eastAsia="仿宋_GB2312"/>
                      <w:sz w:val="20"/>
                      <w:color w:val="000000"/>
                    </w:rPr>
                    <w:t>•脚本撰写、分镜设计、文案创作</w:t>
                  </w:r>
                  <w:r>
                    <w:br/>
                  </w:r>
                  <w:r>
                    <w:rPr>
                      <w:rFonts w:ascii="仿宋_GB2312" w:hAnsi="仿宋_GB2312" w:cs="仿宋_GB2312" w:eastAsia="仿宋_GB2312"/>
                      <w:sz w:val="20"/>
                      <w:color w:val="000000"/>
                    </w:rPr>
                    <w:t>•PR全流程剪辑实操、调色、字幕、特效、画面包装</w:t>
                  </w:r>
                  <w:r>
                    <w:br/>
                  </w:r>
                  <w:r>
                    <w:rPr>
                      <w:rFonts w:ascii="仿宋_GB2312" w:hAnsi="仿宋_GB2312" w:cs="仿宋_GB2312" w:eastAsia="仿宋_GB2312"/>
                      <w:sz w:val="20"/>
                      <w:color w:val="000000"/>
                    </w:rPr>
                    <w:t>•账号运营、数据分析、作品复盘</w:t>
                  </w:r>
                  <w:r>
                    <w:br/>
                  </w:r>
                  <w:r>
                    <w:rPr>
                      <w:rFonts w:ascii="仿宋_GB2312" w:hAnsi="仿宋_GB2312" w:cs="仿宋_GB2312" w:eastAsia="仿宋_GB2312"/>
                      <w:sz w:val="20"/>
                      <w:color w:val="000000"/>
                    </w:rPr>
                    <w:t>6.支持0.75–2倍速播放、断点续看、记忆播放。</w:t>
                  </w:r>
                  <w:r>
                    <w:br/>
                  </w:r>
                  <w:r>
                    <w:rPr>
                      <w:rFonts w:ascii="仿宋_GB2312" w:hAnsi="仿宋_GB2312" w:cs="仿宋_GB2312" w:eastAsia="仿宋_GB2312"/>
                      <w:sz w:val="20"/>
                      <w:color w:val="000000"/>
                    </w:rPr>
                    <w:t>四、竞赛案例资源库（量化指标）</w:t>
                  </w:r>
                  <w:r>
                    <w:br/>
                  </w:r>
                  <w:r>
                    <w:rPr>
                      <w:rFonts w:ascii="仿宋_GB2312" w:hAnsi="仿宋_GB2312" w:cs="仿宋_GB2312" w:eastAsia="仿宋_GB2312"/>
                      <w:sz w:val="20"/>
                      <w:color w:val="000000"/>
                    </w:rPr>
                    <w:t>入库总案例</w:t>
                  </w:r>
                  <w:r>
                    <w:rPr>
                      <w:rFonts w:ascii="仿宋_GB2312" w:hAnsi="仿宋_GB2312" w:cs="仿宋_GB2312" w:eastAsia="仿宋_GB2312"/>
                      <w:sz w:val="20"/>
                      <w:color w:val="000000"/>
                    </w:rPr>
                    <w:t>≥320个</w:t>
                  </w:r>
                  <w:r>
                    <w:br/>
                  </w:r>
                  <w:r>
                    <w:rPr>
                      <w:rFonts w:ascii="仿宋_GB2312" w:hAnsi="仿宋_GB2312" w:cs="仿宋_GB2312" w:eastAsia="仿宋_GB2312"/>
                      <w:sz w:val="20"/>
                      <w:color w:val="000000"/>
                    </w:rPr>
                    <w:t>7.国赛、省赛获奖优秀作品案例 ≥30个</w:t>
                  </w:r>
                  <w:r>
                    <w:br/>
                  </w:r>
                  <w:r>
                    <w:rPr>
                      <w:rFonts w:ascii="仿宋_GB2312" w:hAnsi="仿宋_GB2312" w:cs="仿宋_GB2312" w:eastAsia="仿宋_GB2312"/>
                      <w:sz w:val="20"/>
                      <w:color w:val="000000"/>
                    </w:rPr>
                    <w:t>8.行业优质对标案例 ≥15个（文旅、科普、剧情、产品、校园纪实全覆盖）</w:t>
                  </w:r>
                  <w:r>
                    <w:br/>
                  </w:r>
                  <w:r>
                    <w:rPr>
                      <w:rFonts w:ascii="仿宋_GB2312" w:hAnsi="仿宋_GB2312" w:cs="仿宋_GB2312" w:eastAsia="仿宋_GB2312"/>
                      <w:sz w:val="20"/>
                      <w:color w:val="000000"/>
                    </w:rPr>
                    <w:t>9.支持标签检索、类型检索、难度检索。</w:t>
                  </w:r>
                  <w:r>
                    <w:br/>
                  </w:r>
                  <w:r>
                    <w:rPr>
                      <w:rFonts w:ascii="仿宋_GB2312" w:hAnsi="仿宋_GB2312" w:cs="仿宋_GB2312" w:eastAsia="仿宋_GB2312"/>
                      <w:sz w:val="20"/>
                      <w:color w:val="000000"/>
                    </w:rPr>
                    <w:t>五、无版权竞赛实训素材库（可直接参赛使用）</w:t>
                  </w:r>
                  <w:r>
                    <w:br/>
                  </w:r>
                  <w:r>
                    <w:rPr>
                      <w:rFonts w:ascii="仿宋_GB2312" w:hAnsi="仿宋_GB2312" w:cs="仿宋_GB2312" w:eastAsia="仿宋_GB2312"/>
                      <w:sz w:val="20"/>
                      <w:color w:val="000000"/>
                    </w:rPr>
                    <w:t>10.商用高清无版权图片 ≥6000张</w:t>
                  </w:r>
                  <w:r>
                    <w:br/>
                  </w:r>
                  <w:r>
                    <w:rPr>
                      <w:rFonts w:ascii="仿宋_GB2312" w:hAnsi="仿宋_GB2312" w:cs="仿宋_GB2312" w:eastAsia="仿宋_GB2312"/>
                      <w:sz w:val="20"/>
                      <w:color w:val="000000"/>
                    </w:rPr>
                    <w:t>11.背景音乐、氛围音效、转场音效 ≥900条</w:t>
                  </w:r>
                  <w:r>
                    <w:br/>
                  </w:r>
                  <w:r>
                    <w:rPr>
                      <w:rFonts w:ascii="仿宋_GB2312" w:hAnsi="仿宋_GB2312" w:cs="仿宋_GB2312" w:eastAsia="仿宋_GB2312"/>
                      <w:sz w:val="20"/>
                      <w:color w:val="000000"/>
                    </w:rPr>
                    <w:t>12.竞赛专用模板 ≥260套（PR工程、片头片尾、字幕条、封面海报、图文排版）</w:t>
                  </w:r>
                  <w:r>
                    <w:br/>
                  </w:r>
                  <w:r>
                    <w:rPr>
                      <w:rFonts w:ascii="仿宋_GB2312" w:hAnsi="仿宋_GB2312" w:cs="仿宋_GB2312" w:eastAsia="仿宋_GB2312"/>
                      <w:sz w:val="20"/>
                      <w:color w:val="000000"/>
                    </w:rPr>
                    <w:t>13.全部素材提供授权证明，无版权风险，可直接用于参赛作品提交。</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图形工作站</w:t>
                  </w: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处理器性能</w:t>
                  </w:r>
                  <w:r>
                    <w:rPr>
                      <w:rFonts w:ascii="仿宋_GB2312" w:hAnsi="仿宋_GB2312" w:cs="仿宋_GB2312" w:eastAsia="仿宋_GB2312"/>
                      <w:sz w:val="20"/>
                      <w:color w:val="000000"/>
                    </w:rPr>
                    <w:t>≥12代i7同等算力6核及以上处理器</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 xml:space="preserve">≥32 GB </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显卡：</w:t>
                  </w:r>
                  <w:r>
                    <w:rPr>
                      <w:rFonts w:ascii="仿宋_GB2312" w:hAnsi="仿宋_GB2312" w:cs="仿宋_GB2312" w:eastAsia="仿宋_GB2312"/>
                      <w:sz w:val="20"/>
                      <w:color w:val="000000"/>
                    </w:rPr>
                    <w:t>≥8G独立图形显卡</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主板：</w:t>
                  </w:r>
                  <w:r>
                    <w:rPr>
                      <w:rFonts w:ascii="仿宋_GB2312" w:hAnsi="仿宋_GB2312" w:cs="仿宋_GB2312" w:eastAsia="仿宋_GB2312"/>
                      <w:sz w:val="20"/>
                      <w:color w:val="000000"/>
                    </w:rPr>
                    <w:t>≥Intel B760 系列芯片组；</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硬盘：固态硬盘</w:t>
                  </w:r>
                  <w:r>
                    <w:rPr>
                      <w:rFonts w:ascii="仿宋_GB2312" w:hAnsi="仿宋_GB2312" w:cs="仿宋_GB2312" w:eastAsia="仿宋_GB2312"/>
                      <w:sz w:val="20"/>
                      <w:color w:val="000000"/>
                    </w:rPr>
                    <w:t>(SSD)，容量≥1TB ，</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标准有线键盘、鼠标</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显示器：</w:t>
                  </w:r>
                  <w:r>
                    <w:rPr>
                      <w:rFonts w:ascii="仿宋_GB2312" w:hAnsi="仿宋_GB2312" w:cs="仿宋_GB2312" w:eastAsia="仿宋_GB2312"/>
                      <w:sz w:val="20"/>
                      <w:color w:val="000000"/>
                    </w:rPr>
                    <w:t>≥27英寸 液晶显示器</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操作系统：</w:t>
                  </w:r>
                  <w:r>
                    <w:rPr>
                      <w:rFonts w:ascii="仿宋_GB2312" w:hAnsi="仿宋_GB2312" w:cs="仿宋_GB2312" w:eastAsia="仿宋_GB2312"/>
                      <w:sz w:val="20"/>
                      <w:color w:val="000000"/>
                    </w:rPr>
                    <w:t>Windows 10或以上。</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耳机</w:t>
                  </w: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1.入耳式，灵敏度≥3dB，阻抗</w:t>
                  </w:r>
                  <w:r>
                    <w:rPr>
                      <w:rFonts w:ascii="仿宋_GB2312" w:hAnsi="仿宋_GB2312" w:cs="仿宋_GB2312" w:eastAsia="仿宋_GB2312"/>
                      <w:sz w:val="20"/>
                      <w:color w:val="000000"/>
                    </w:rPr>
                    <w:t>≥</w:t>
                  </w:r>
                  <w:r>
                    <w:rPr>
                      <w:rFonts w:ascii="仿宋_GB2312" w:hAnsi="仿宋_GB2312" w:cs="仿宋_GB2312" w:eastAsia="仿宋_GB2312"/>
                      <w:sz w:val="20"/>
                      <w:color w:val="000000"/>
                    </w:rPr>
                    <w:t>160Ω，频率范围 20Hz~20KHz，接口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3.5mm 插头</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稳定器</w:t>
                  </w: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1.负载重量：≥1.2kg，可兼容微单相机、手机、运动相机</w:t>
                  </w:r>
                </w:p>
                <w:p>
                  <w:pPr>
                    <w:pStyle w:val="null3"/>
                    <w:jc w:val="both"/>
                  </w:pPr>
                  <w:r>
                    <w:rPr>
                      <w:rFonts w:ascii="仿宋_GB2312" w:hAnsi="仿宋_GB2312" w:cs="仿宋_GB2312" w:eastAsia="仿宋_GB2312"/>
                      <w:sz w:val="20"/>
                      <w:color w:val="000000"/>
                    </w:rPr>
                    <w:t>2.三轴机械云台：俯仰、横滚、航向三轴电机驱动，机械限位保护</w:t>
                  </w:r>
                </w:p>
                <w:p>
                  <w:pPr>
                    <w:pStyle w:val="null3"/>
                    <w:jc w:val="both"/>
                  </w:pPr>
                  <w:r>
                    <w:rPr>
                      <w:rFonts w:ascii="仿宋_GB2312" w:hAnsi="仿宋_GB2312" w:cs="仿宋_GB2312" w:eastAsia="仿宋_GB2312"/>
                      <w:sz w:val="20"/>
                      <w:color w:val="000000"/>
                    </w:rPr>
                    <w:t>3.转动角度</w:t>
                  </w:r>
                </w:p>
                <w:p>
                  <w:pPr>
                    <w:pStyle w:val="null3"/>
                    <w:jc w:val="both"/>
                  </w:pPr>
                  <w:r>
                    <w:rPr>
                      <w:rFonts w:ascii="仿宋_GB2312" w:hAnsi="仿宋_GB2312" w:cs="仿宋_GB2312" w:eastAsia="仿宋_GB2312"/>
                      <w:sz w:val="20"/>
                      <w:color w:val="000000"/>
                    </w:rPr>
                    <w:t>俯仰轴：</w:t>
                  </w:r>
                  <w:r>
                    <w:rPr>
                      <w:rFonts w:ascii="仿宋_GB2312" w:hAnsi="仿宋_GB2312" w:cs="仿宋_GB2312" w:eastAsia="仿宋_GB2312"/>
                      <w:sz w:val="20"/>
                      <w:color w:val="000000"/>
                    </w:rPr>
                    <w:t>≥‑220°～+220°</w:t>
                  </w:r>
                </w:p>
                <w:p>
                  <w:pPr>
                    <w:pStyle w:val="null3"/>
                    <w:jc w:val="both"/>
                  </w:pPr>
                  <w:r>
                    <w:rPr>
                      <w:rFonts w:ascii="仿宋_GB2312" w:hAnsi="仿宋_GB2312" w:cs="仿宋_GB2312" w:eastAsia="仿宋_GB2312"/>
                      <w:sz w:val="20"/>
                      <w:color w:val="000000"/>
                    </w:rPr>
                    <w:t>横滚轴：</w:t>
                  </w:r>
                  <w:r>
                    <w:rPr>
                      <w:rFonts w:ascii="仿宋_GB2312" w:hAnsi="仿宋_GB2312" w:cs="仿宋_GB2312" w:eastAsia="仿宋_GB2312"/>
                      <w:sz w:val="20"/>
                      <w:color w:val="000000"/>
                    </w:rPr>
                    <w:t>≥‑180°～+180°</w:t>
                  </w:r>
                </w:p>
                <w:p>
                  <w:pPr>
                    <w:pStyle w:val="null3"/>
                    <w:jc w:val="both"/>
                  </w:pPr>
                  <w:r>
                    <w:rPr>
                      <w:rFonts w:ascii="仿宋_GB2312" w:hAnsi="仿宋_GB2312" w:cs="仿宋_GB2312" w:eastAsia="仿宋_GB2312"/>
                      <w:sz w:val="20"/>
                      <w:color w:val="000000"/>
                    </w:rPr>
                    <w:t>4.航向轴：360°无限位旋转</w:t>
                  </w:r>
                </w:p>
                <w:p>
                  <w:pPr>
                    <w:pStyle w:val="null3"/>
                    <w:jc w:val="both"/>
                  </w:pPr>
                  <w:r>
                    <w:rPr>
                      <w:rFonts w:ascii="仿宋_GB2312" w:hAnsi="仿宋_GB2312" w:cs="仿宋_GB2312" w:eastAsia="仿宋_GB2312"/>
                      <w:sz w:val="20"/>
                      <w:color w:val="000000"/>
                    </w:rPr>
                    <w:t>5.工作模式：全锁定模式、跟随模式、FPV第一视角模式、盗梦空间旋转模式、手机竖拍模式</w:t>
                  </w:r>
                </w:p>
                <w:p>
                  <w:pPr>
                    <w:pStyle w:val="null3"/>
                    <w:jc w:val="both"/>
                  </w:pPr>
                  <w:r>
                    <w:rPr>
                      <w:rFonts w:ascii="仿宋_GB2312" w:hAnsi="仿宋_GB2312" w:cs="仿宋_GB2312" w:eastAsia="仿宋_GB2312"/>
                      <w:sz w:val="20"/>
                      <w:color w:val="000000"/>
                    </w:rPr>
                    <w:t>6.防抖性能：内置姿态传感器，自动补偿抖动，支持运动跟随、物体追踪</w:t>
                  </w:r>
                </w:p>
                <w:p>
                  <w:pPr>
                    <w:pStyle w:val="null3"/>
                    <w:jc w:val="both"/>
                  </w:pPr>
                  <w:r>
                    <w:rPr>
                      <w:rFonts w:ascii="仿宋_GB2312" w:hAnsi="仿宋_GB2312" w:cs="仿宋_GB2312" w:eastAsia="仿宋_GB2312"/>
                      <w:sz w:val="20"/>
                      <w:color w:val="000000"/>
                    </w:rPr>
                    <w:t>7.续航能力：满电连续工作≥12小时；支持Type‑C快充，可边用边充电</w:t>
                  </w:r>
                </w:p>
                <w:p>
                  <w:pPr>
                    <w:pStyle w:val="null3"/>
                    <w:jc w:val="both"/>
                  </w:pPr>
                  <w:r>
                    <w:rPr>
                      <w:rFonts w:ascii="仿宋_GB2312" w:hAnsi="仿宋_GB2312" w:cs="仿宋_GB2312" w:eastAsia="仿宋_GB2312"/>
                      <w:sz w:val="20"/>
                      <w:color w:val="000000"/>
                    </w:rPr>
                    <w:t>8.物理结构：可折叠收纳，自带快拆快装板，无需反复调平；自带1/4标准螺口，可外接三脚架</w:t>
                  </w:r>
                </w:p>
                <w:p>
                  <w:pPr>
                    <w:pStyle w:val="null3"/>
                    <w:jc w:val="both"/>
                  </w:pPr>
                  <w:r>
                    <w:rPr>
                      <w:rFonts w:ascii="仿宋_GB2312" w:hAnsi="仿宋_GB2312" w:cs="仿宋_GB2312" w:eastAsia="仿宋_GB2312"/>
                      <w:sz w:val="20"/>
                      <w:color w:val="000000"/>
                    </w:rPr>
                    <w:t>9.操控功能：实体摇杆控制云台转向，模式切换按键，录制按键；支持蓝牙连接</w:t>
                  </w:r>
                </w:p>
                <w:p>
                  <w:pPr>
                    <w:pStyle w:val="null3"/>
                    <w:jc w:val="both"/>
                  </w:pPr>
                  <w:r>
                    <w:rPr>
                      <w:rFonts w:ascii="仿宋_GB2312" w:hAnsi="仿宋_GB2312" w:cs="仿宋_GB2312" w:eastAsia="仿宋_GB2312"/>
                      <w:sz w:val="20"/>
                      <w:color w:val="000000"/>
                    </w:rPr>
                    <w:t>10.拓展接口：配备冷靴接口，可外接补光灯、麦克风</w:t>
                  </w:r>
                </w:p>
                <w:p>
                  <w:pPr>
                    <w:pStyle w:val="null3"/>
                    <w:jc w:val="both"/>
                  </w:pPr>
                  <w:r>
                    <w:rPr>
                      <w:rFonts w:ascii="仿宋_GB2312" w:hAnsi="仿宋_GB2312" w:cs="仿宋_GB2312" w:eastAsia="仿宋_GB2312"/>
                      <w:sz w:val="20"/>
                      <w:color w:val="000000"/>
                    </w:rPr>
                    <w:t>11.配件：标配便携收纳袋、快装板、充电数据线</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智慧大屏</w:t>
                  </w: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一、结构设计</w:t>
                  </w:r>
                  <w:r>
                    <w:br/>
                  </w:r>
                  <w:r>
                    <w:rPr>
                      <w:rFonts w:ascii="仿宋_GB2312" w:hAnsi="仿宋_GB2312" w:cs="仿宋_GB2312" w:eastAsia="仿宋_GB2312"/>
                      <w:sz w:val="20"/>
                      <w:color w:val="000000"/>
                    </w:rPr>
                    <w:t>1.整机采用边框与背板一体化冲压成型结构，上左右三边边框与背板连接处无拼缝。</w:t>
                  </w:r>
                  <w:r>
                    <w:br/>
                  </w:r>
                  <w:r>
                    <w:rPr>
                      <w:rFonts w:ascii="仿宋_GB2312" w:hAnsi="仿宋_GB2312" w:cs="仿宋_GB2312" w:eastAsia="仿宋_GB2312"/>
                      <w:sz w:val="20"/>
                      <w:color w:val="000000"/>
                    </w:rPr>
                    <w:t>整机屏幕采用</w:t>
                  </w:r>
                  <w:r>
                    <w:rPr>
                      <w:rFonts w:ascii="仿宋_GB2312" w:hAnsi="仿宋_GB2312" w:cs="仿宋_GB2312" w:eastAsia="仿宋_GB2312"/>
                      <w:sz w:val="20"/>
                      <w:color w:val="000000"/>
                    </w:rPr>
                    <w:t>≥75英寸液晶显示器。</w:t>
                  </w:r>
                  <w:r>
                    <w:br/>
                  </w:r>
                  <w:r>
                    <w:rPr>
                      <w:rFonts w:ascii="仿宋_GB2312" w:hAnsi="仿宋_GB2312" w:cs="仿宋_GB2312" w:eastAsia="仿宋_GB2312"/>
                      <w:sz w:val="20"/>
                      <w:color w:val="000000"/>
                    </w:rPr>
                    <w:t>3.整机上左右三边边框正面宽度相等（等边框结构），且三边宽度均≤20mm，屏占比≥85%。</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4.整机左、右、下三边框皆具备磁吸功能，边框任意位置可吸附具备磁吸功能的书写笔。</w:t>
                  </w:r>
                </w:p>
              </w:tc>
              <w:tc>
                <w:tcPr>
                  <w:tcW w:type="dxa" w:w="1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7"/>
                  <w:vMerge/>
                  <w:tcBorders>
                    <w:top w:val="none" w:color="000000" w:sz="4"/>
                    <w:left w:val="single" w:color="000000" w:sz="4"/>
                    <w:bottom w:val="single" w:color="000000" w:sz="4"/>
                    <w:right w:val="single" w:color="000000" w:sz="4"/>
                  </w:tcBorders>
                </w:tcPr>
                <w:p/>
              </w:tc>
              <w:tc>
                <w:tcPr>
                  <w:tcW w:type="dxa" w:w="405"/>
                  <w:vMerge/>
                  <w:tcBorders>
                    <w:top w:val="none" w:color="000000" w:sz="4"/>
                    <w:left w:val="single" w:color="000000" w:sz="4"/>
                    <w:bottom w:val="single" w:color="000000" w:sz="4"/>
                    <w:right w:val="single" w:color="000000" w:sz="4"/>
                  </w:tcBorders>
                </w:tcP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二、显示性能</w:t>
                  </w:r>
                  <w:r>
                    <w:br/>
                  </w:r>
                  <w:r>
                    <w:rPr>
                      <w:rFonts w:ascii="仿宋_GB2312" w:hAnsi="仿宋_GB2312" w:cs="仿宋_GB2312" w:eastAsia="仿宋_GB2312"/>
                      <w:sz w:val="20"/>
                      <w:color w:val="000000"/>
                    </w:rPr>
                    <w:t>1.整机采⽤超⾼清LED液晶屏，显示分辨率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3840x2160，可视角度≥178°。</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2.屏幕采⽤≤3mm钢化玻璃保护。</w:t>
                  </w:r>
                  <w:r>
                    <w:br/>
                  </w:r>
                  <w:r>
                    <w:rPr>
                      <w:rFonts w:ascii="仿宋_GB2312" w:hAnsi="仿宋_GB2312" w:cs="仿宋_GB2312" w:eastAsia="仿宋_GB2312"/>
                      <w:sz w:val="20"/>
                      <w:color w:val="000000"/>
                    </w:rPr>
                    <w:t>3.整机背光系统支持DC调光方式，多级亮度调节，支持白颜色背景下最暗亮度≤100nit，用于提升显示对比度。</w:t>
                  </w:r>
                  <w:r>
                    <w:br/>
                  </w:r>
                  <w:r>
                    <w:rPr>
                      <w:rFonts w:ascii="仿宋_GB2312" w:hAnsi="仿宋_GB2312" w:cs="仿宋_GB2312" w:eastAsia="仿宋_GB2312"/>
                      <w:sz w:val="20"/>
                      <w:color w:val="000000"/>
                    </w:rPr>
                    <w:t>4..屏幕灰阶等级≥256级。</w:t>
                  </w:r>
                  <w:r>
                    <w:br/>
                  </w:r>
                  <w:r>
                    <w:rPr>
                      <w:rFonts w:ascii="仿宋_GB2312" w:hAnsi="仿宋_GB2312" w:cs="仿宋_GB2312" w:eastAsia="仿宋_GB2312"/>
                      <w:sz w:val="20"/>
                      <w:color w:val="000000"/>
                    </w:rPr>
                    <w:t>5.具备多种纸制护眼模式。</w:t>
                  </w:r>
                  <w:r>
                    <w:br/>
                  </w:r>
                  <w:r>
                    <w:rPr>
                      <w:rFonts w:ascii="仿宋_GB2312" w:hAnsi="仿宋_GB2312" w:cs="仿宋_GB2312" w:eastAsia="仿宋_GB2312"/>
                      <w:sz w:val="20"/>
                      <w:color w:val="000000"/>
                    </w:rPr>
                    <w:t>6.根据显示不同内容具备自动画质调节功能。</w:t>
                  </w:r>
                  <w:r>
                    <w:br/>
                  </w:r>
                  <w:r>
                    <w:rPr>
                      <w:rFonts w:ascii="仿宋_GB2312" w:hAnsi="仿宋_GB2312" w:cs="仿宋_GB2312" w:eastAsia="仿宋_GB2312"/>
                      <w:sz w:val="20"/>
                      <w:color w:val="000000"/>
                    </w:rPr>
                    <w:t>7.防蓝光达到行业标准要求。</w:t>
                  </w:r>
                </w:p>
              </w:tc>
              <w:tc>
                <w:tcPr>
                  <w:tcW w:type="dxa" w:w="157"/>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r>
            <w:tr>
              <w:tc>
                <w:tcPr>
                  <w:tcW w:type="dxa" w:w="157"/>
                  <w:vMerge/>
                  <w:tcBorders>
                    <w:top w:val="none" w:color="000000" w:sz="4"/>
                    <w:left w:val="single" w:color="000000" w:sz="4"/>
                    <w:bottom w:val="single" w:color="000000" w:sz="4"/>
                    <w:right w:val="single" w:color="000000" w:sz="4"/>
                  </w:tcBorders>
                </w:tcPr>
                <w:p/>
              </w:tc>
              <w:tc>
                <w:tcPr>
                  <w:tcW w:type="dxa" w:w="405"/>
                  <w:vMerge/>
                  <w:tcBorders>
                    <w:top w:val="none" w:color="000000" w:sz="4"/>
                    <w:left w:val="single" w:color="000000" w:sz="4"/>
                    <w:bottom w:val="single" w:color="000000" w:sz="4"/>
                    <w:right w:val="single" w:color="000000" w:sz="4"/>
                  </w:tcBorders>
                </w:tcP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三、音频性能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1.整机内置高音、中低音扬声器，最大功率≥84W，单个扬声器容积≥0.6L，最低谐振频率≤85Hz。</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2.整机全部扬声器均采用模块化设计，无需打开背板即可单独拆卸。</w:t>
                  </w:r>
                  <w:r>
                    <w:br/>
                  </w:r>
                  <w:r>
                    <w:rPr>
                      <w:rFonts w:ascii="仿宋_GB2312" w:hAnsi="仿宋_GB2312" w:cs="仿宋_GB2312" w:eastAsia="仿宋_GB2312"/>
                      <w:sz w:val="20"/>
                      <w:color w:val="000000"/>
                    </w:rPr>
                    <w:t>3.整机内置非独立外扩展的阵列麦克风，拾音距离≥12m。</w:t>
                  </w:r>
                  <w:r>
                    <w:br/>
                  </w:r>
                  <w:r>
                    <w:rPr>
                      <w:rFonts w:ascii="仿宋_GB2312" w:hAnsi="仿宋_GB2312" w:cs="仿宋_GB2312" w:eastAsia="仿宋_GB2312"/>
                      <w:sz w:val="20"/>
                      <w:color w:val="000000"/>
                    </w:rPr>
                    <w:t>4.整机听力模式下具备AI人声语言增强功能，支持三挡强弱调节，通过AI算法提取视频/音频中的语言进行效果增强，在不增加音量的情况下提升语言清晰度，扩声系统语言传输指数（STIPA）≥0.75。</w:t>
                  </w:r>
                </w:p>
              </w:tc>
              <w:tc>
                <w:tcPr>
                  <w:tcW w:type="dxa" w:w="157"/>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r>
            <w:tr>
              <w:tc>
                <w:tcPr>
                  <w:tcW w:type="dxa" w:w="157"/>
                  <w:vMerge/>
                  <w:tcBorders>
                    <w:top w:val="none" w:color="000000" w:sz="4"/>
                    <w:left w:val="single" w:color="000000" w:sz="4"/>
                    <w:bottom w:val="single" w:color="000000" w:sz="4"/>
                    <w:right w:val="single" w:color="000000" w:sz="4"/>
                  </w:tcBorders>
                </w:tcPr>
                <w:p/>
              </w:tc>
              <w:tc>
                <w:tcPr>
                  <w:tcW w:type="dxa" w:w="405"/>
                  <w:vMerge/>
                  <w:tcBorders>
                    <w:top w:val="none" w:color="000000" w:sz="4"/>
                    <w:left w:val="single" w:color="000000" w:sz="4"/>
                    <w:bottom w:val="single" w:color="000000" w:sz="4"/>
                    <w:right w:val="single" w:color="000000" w:sz="4"/>
                  </w:tcBorders>
                </w:tcP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w:t>
                  </w:r>
                  <w:r>
                    <w:rPr>
                      <w:rFonts w:ascii="仿宋_GB2312" w:hAnsi="仿宋_GB2312" w:cs="仿宋_GB2312" w:eastAsia="仿宋_GB2312"/>
                      <w:sz w:val="20"/>
                      <w:color w:val="000000"/>
                    </w:rPr>
                    <w:t>OPS主机</w:t>
                  </w:r>
                  <w:r>
                    <w:br/>
                  </w:r>
                  <w:r>
                    <w:rPr>
                      <w:rFonts w:ascii="仿宋_GB2312" w:hAnsi="仿宋_GB2312" w:cs="仿宋_GB2312" w:eastAsia="仿宋_GB2312"/>
                      <w:sz w:val="20"/>
                      <w:color w:val="000000"/>
                    </w:rPr>
                    <w:t>1.搭载Intel 酷睿 i5或同等性能配置CPU。</w:t>
                  </w:r>
                </w:p>
                <w:p>
                  <w:pPr>
                    <w:pStyle w:val="null3"/>
                    <w:jc w:val="left"/>
                  </w:pPr>
                  <w:r>
                    <w:rPr>
                      <w:rFonts w:ascii="仿宋_GB2312" w:hAnsi="仿宋_GB2312" w:cs="仿宋_GB2312" w:eastAsia="仿宋_GB2312"/>
                      <w:sz w:val="20"/>
                      <w:color w:val="000000"/>
                    </w:rPr>
                    <w:t>2.内存：≥8 GB</w:t>
                  </w:r>
                </w:p>
                <w:p>
                  <w:pPr>
                    <w:pStyle w:val="null3"/>
                    <w:jc w:val="left"/>
                  </w:pPr>
                  <w:r>
                    <w:rPr>
                      <w:rFonts w:ascii="仿宋_GB2312" w:hAnsi="仿宋_GB2312" w:cs="仿宋_GB2312" w:eastAsia="仿宋_GB2312"/>
                      <w:sz w:val="20"/>
                      <w:color w:val="000000"/>
                    </w:rPr>
                    <w:t>3. DDR4笔记本内存或以上配置。</w:t>
                  </w:r>
                </w:p>
                <w:p>
                  <w:pPr>
                    <w:pStyle w:val="null3"/>
                    <w:jc w:val="left"/>
                  </w:pPr>
                  <w:r>
                    <w:rPr>
                      <w:rFonts w:ascii="仿宋_GB2312" w:hAnsi="仿宋_GB2312" w:cs="仿宋_GB2312" w:eastAsia="仿宋_GB2312"/>
                      <w:sz w:val="20"/>
                      <w:color w:val="000000"/>
                    </w:rPr>
                    <w:t>4.硬盘：</w:t>
                  </w:r>
                  <w:r>
                    <w:rPr>
                      <w:rFonts w:ascii="仿宋_GB2312" w:hAnsi="仿宋_GB2312" w:cs="仿宋_GB2312" w:eastAsia="仿宋_GB2312"/>
                      <w:sz w:val="20"/>
                      <w:color w:val="000000"/>
                    </w:rPr>
                    <w:t>≥</w:t>
                  </w:r>
                  <w:r>
                    <w:rPr>
                      <w:rFonts w:ascii="仿宋_GB2312" w:hAnsi="仿宋_GB2312" w:cs="仿宋_GB2312" w:eastAsia="仿宋_GB2312"/>
                      <w:sz w:val="20"/>
                      <w:color w:val="000000"/>
                    </w:rPr>
                    <w:t>256 GB SSD固态硬盘或同等性能。</w:t>
                  </w:r>
                </w:p>
              </w:tc>
              <w:tc>
                <w:tcPr>
                  <w:tcW w:type="dxa" w:w="157"/>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r>
            <w:tr>
              <w:tc>
                <w:tcPr>
                  <w:tcW w:type="dxa" w:w="157"/>
                  <w:vMerge/>
                  <w:tcBorders>
                    <w:top w:val="none" w:color="000000" w:sz="4"/>
                    <w:left w:val="single" w:color="000000" w:sz="4"/>
                    <w:bottom w:val="single" w:color="000000" w:sz="4"/>
                    <w:right w:val="single" w:color="000000" w:sz="4"/>
                  </w:tcBorders>
                </w:tcPr>
                <w:p/>
              </w:tc>
              <w:tc>
                <w:tcPr>
                  <w:tcW w:type="dxa" w:w="405"/>
                  <w:vMerge/>
                  <w:tcBorders>
                    <w:top w:val="none" w:color="000000" w:sz="4"/>
                    <w:left w:val="single" w:color="000000" w:sz="4"/>
                    <w:bottom w:val="single" w:color="000000" w:sz="4"/>
                    <w:right w:val="single" w:color="000000" w:sz="4"/>
                  </w:tcBorders>
                </w:tcP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五、嵌入式备份系统</w:t>
                  </w:r>
                  <w:r>
                    <w:br/>
                  </w:r>
                  <w:r>
                    <w:rPr>
                      <w:rFonts w:ascii="仿宋_GB2312" w:hAnsi="仿宋_GB2312" w:cs="仿宋_GB2312" w:eastAsia="仿宋_GB2312"/>
                      <w:sz w:val="20"/>
                      <w:color w:val="000000"/>
                    </w:rPr>
                    <w:t>1.整机嵌入式系统版本≥Android 15，主频≥1.6GHz，内存≥2GB，DDR最大速率≥2666MT/S，存储空间≥32GB。</w:t>
                  </w:r>
                  <w:r>
                    <w:br/>
                  </w:r>
                  <w:r>
                    <w:rPr>
                      <w:rFonts w:ascii="仿宋_GB2312" w:hAnsi="仿宋_GB2312" w:cs="仿宋_GB2312" w:eastAsia="仿宋_GB2312"/>
                      <w:sz w:val="20"/>
                      <w:color w:val="000000"/>
                    </w:rPr>
                    <w:t>2.整机CPU芯片，WIFI与蓝牙芯片、摄像头图像处理芯片、均采用国产自主芯片。</w:t>
                  </w:r>
                  <w:r>
                    <w:br/>
                  </w:r>
                  <w:r>
                    <w:rPr>
                      <w:rFonts w:ascii="仿宋_GB2312" w:hAnsi="仿宋_GB2312" w:cs="仿宋_GB2312" w:eastAsia="仿宋_GB2312"/>
                      <w:sz w:val="20"/>
                      <w:color w:val="000000"/>
                    </w:rPr>
                    <w:t>3.整机从待机状态下（待机功耗≤0.5W），可13s内开机进入到系统主页，并达到可触控状态。</w:t>
                  </w:r>
                </w:p>
              </w:tc>
              <w:tc>
                <w:tcPr>
                  <w:tcW w:type="dxa" w:w="157"/>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r>
            <w:tr>
              <w:tc>
                <w:tcPr>
                  <w:tcW w:type="dxa" w:w="157"/>
                  <w:vMerge/>
                  <w:tcBorders>
                    <w:top w:val="none" w:color="000000" w:sz="4"/>
                    <w:left w:val="single" w:color="000000" w:sz="4"/>
                    <w:bottom w:val="single" w:color="000000" w:sz="4"/>
                    <w:right w:val="single" w:color="000000" w:sz="4"/>
                  </w:tcBorders>
                </w:tcPr>
                <w:p/>
              </w:tc>
              <w:tc>
                <w:tcPr>
                  <w:tcW w:type="dxa" w:w="405"/>
                  <w:vMerge/>
                  <w:tcBorders>
                    <w:top w:val="none" w:color="000000" w:sz="4"/>
                    <w:left w:val="single" w:color="000000" w:sz="4"/>
                    <w:bottom w:val="single" w:color="000000" w:sz="4"/>
                    <w:right w:val="single" w:color="000000" w:sz="4"/>
                  </w:tcBorders>
                </w:tcP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六、按键和接口</w:t>
                  </w:r>
                  <w:r>
                    <w:br/>
                  </w:r>
                  <w:r>
                    <w:rPr>
                      <w:rFonts w:ascii="仿宋_GB2312" w:hAnsi="仿宋_GB2312" w:cs="仿宋_GB2312" w:eastAsia="仿宋_GB2312"/>
                      <w:sz w:val="20"/>
                      <w:color w:val="000000"/>
                    </w:rPr>
                    <w:t>1.设备按键采用简洁化设计，前置接口与按键在设备同一侧。</w:t>
                  </w:r>
                  <w:r>
                    <w:br/>
                  </w:r>
                  <w:r>
                    <w:rPr>
                      <w:rFonts w:ascii="仿宋_GB2312" w:hAnsi="仿宋_GB2312" w:cs="仿宋_GB2312" w:eastAsia="仿宋_GB2312"/>
                      <w:sz w:val="20"/>
                      <w:color w:val="000000"/>
                    </w:rPr>
                    <w:t>2.整机前置 USB 接口具备防撞挡板设计，防撞挡板采用转轴式翻转，可拆卸更换不同宽度的挡板对设备进行防撞防护。具备一键启动录屏功能。</w:t>
                  </w:r>
                  <w:r>
                    <w:br/>
                  </w:r>
                  <w:r>
                    <w:rPr>
                      <w:rFonts w:ascii="仿宋_GB2312" w:hAnsi="仿宋_GB2312" w:cs="仿宋_GB2312" w:eastAsia="仿宋_GB2312"/>
                      <w:sz w:val="20"/>
                      <w:color w:val="000000"/>
                    </w:rPr>
                    <w:t>3.具备HDMI、VGA、TypeC等接口。</w:t>
                  </w:r>
                </w:p>
              </w:tc>
              <w:tc>
                <w:tcPr>
                  <w:tcW w:type="dxa" w:w="157"/>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r>
            <w:tr>
              <w:tc>
                <w:tcPr>
                  <w:tcW w:type="dxa" w:w="157"/>
                  <w:vMerge/>
                  <w:tcBorders>
                    <w:top w:val="none" w:color="000000" w:sz="4"/>
                    <w:left w:val="single" w:color="000000" w:sz="4"/>
                    <w:bottom w:val="single" w:color="000000" w:sz="4"/>
                    <w:right w:val="single" w:color="000000" w:sz="4"/>
                  </w:tcBorders>
                </w:tcPr>
                <w:p/>
              </w:tc>
              <w:tc>
                <w:tcPr>
                  <w:tcW w:type="dxa" w:w="405"/>
                  <w:vMerge/>
                  <w:tcBorders>
                    <w:top w:val="none" w:color="000000" w:sz="4"/>
                    <w:left w:val="single" w:color="000000" w:sz="4"/>
                    <w:bottom w:val="single" w:color="000000" w:sz="4"/>
                    <w:right w:val="single" w:color="000000" w:sz="4"/>
                  </w:tcBorders>
                </w:tcP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七、无线和蓝牙</w:t>
                  </w:r>
                  <w:r>
                    <w:br/>
                  </w:r>
                  <w:r>
                    <w:rPr>
                      <w:rFonts w:ascii="仿宋_GB2312" w:hAnsi="仿宋_GB2312" w:cs="仿宋_GB2312" w:eastAsia="仿宋_GB2312"/>
                      <w:sz w:val="20"/>
                      <w:color w:val="000000"/>
                    </w:rPr>
                    <w:t>▲1.整机内置无线模块和蓝牙模块，采用1.独立模块化设计，无需拆卸整机后壳即可独立拆装。</w:t>
                  </w:r>
                  <w:r>
                    <w:br/>
                  </w:r>
                  <w:r>
                    <w:rPr>
                      <w:rFonts w:ascii="仿宋_GB2312" w:hAnsi="仿宋_GB2312" w:cs="仿宋_GB2312" w:eastAsia="仿宋_GB2312"/>
                      <w:sz w:val="20"/>
                      <w:color w:val="000000"/>
                    </w:rPr>
                    <w:t>2.整机PC端支持主动发现蓝牙外设从而连接，支持连接外部蓝牙音箱等。</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3.整机支持发出超声波信号，用于连接附近手机或笔记本等外设并实现投屏功能。</w:t>
                  </w:r>
                  <w:r>
                    <w:br/>
                  </w:r>
                  <w:r>
                    <w:rPr>
                      <w:rFonts w:ascii="仿宋_GB2312" w:hAnsi="仿宋_GB2312" w:cs="仿宋_GB2312" w:eastAsia="仿宋_GB2312"/>
                      <w:sz w:val="20"/>
                      <w:color w:val="000000"/>
                    </w:rPr>
                    <w:t>4.内置无线传屏接收模块。</w:t>
                  </w:r>
                  <w:r>
                    <w:br/>
                  </w:r>
                  <w:r>
                    <w:rPr>
                      <w:rFonts w:ascii="仿宋_GB2312" w:hAnsi="仿宋_GB2312" w:cs="仿宋_GB2312" w:eastAsia="仿宋_GB2312"/>
                      <w:sz w:val="20"/>
                      <w:color w:val="000000"/>
                    </w:rPr>
                    <w:t>5.整机OPS主机通道和安卓备份通道各具备≥1个WiFi6无线芯片。</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6.整机配套教学应用APP可通过wifi直连技术，近场发现附近教学大屏设备，无需扫码、账号密码输入步骤，即可直接连接并登录教学大屏设备，基于统一身份认证机制可实现其他教学软件免登录操作。</w:t>
                  </w:r>
                </w:p>
              </w:tc>
              <w:tc>
                <w:tcPr>
                  <w:tcW w:type="dxa" w:w="157"/>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r>
            <w:tr>
              <w:tc>
                <w:tcPr>
                  <w:tcW w:type="dxa" w:w="157"/>
                  <w:vMerge/>
                  <w:tcBorders>
                    <w:top w:val="none" w:color="000000" w:sz="4"/>
                    <w:left w:val="single" w:color="000000" w:sz="4"/>
                    <w:bottom w:val="single" w:color="000000" w:sz="4"/>
                    <w:right w:val="single" w:color="000000" w:sz="4"/>
                  </w:tcBorders>
                </w:tcPr>
                <w:p/>
              </w:tc>
              <w:tc>
                <w:tcPr>
                  <w:tcW w:type="dxa" w:w="405"/>
                  <w:vMerge/>
                  <w:tcBorders>
                    <w:top w:val="none" w:color="000000" w:sz="4"/>
                    <w:left w:val="single" w:color="000000" w:sz="4"/>
                    <w:bottom w:val="single" w:color="000000" w:sz="4"/>
                    <w:right w:val="single" w:color="000000" w:sz="4"/>
                  </w:tcBorders>
                </w:tcP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八、内置摄像头</w:t>
                  </w:r>
                  <w:r>
                    <w:br/>
                  </w:r>
                  <w:r>
                    <w:rPr>
                      <w:rFonts w:ascii="仿宋_GB2312" w:hAnsi="仿宋_GB2312" w:cs="仿宋_GB2312" w:eastAsia="仿宋_GB2312"/>
                      <w:sz w:val="20"/>
                      <w:color w:val="000000"/>
                    </w:rPr>
                    <w:t>1.整机内置摄像头，像素≥1600万。</w:t>
                  </w:r>
                  <w:r>
                    <w:br/>
                  </w:r>
                  <w:r>
                    <w:rPr>
                      <w:rFonts w:ascii="仿宋_GB2312" w:hAnsi="仿宋_GB2312" w:cs="仿宋_GB2312" w:eastAsia="仿宋_GB2312"/>
                      <w:sz w:val="20"/>
                      <w:color w:val="000000"/>
                    </w:rPr>
                    <w:t>2.摄像头具备人脸识别、远程巡课等功能。</w:t>
                  </w:r>
                  <w:r>
                    <w:br/>
                  </w:r>
                  <w:r>
                    <w:rPr>
                      <w:rFonts w:ascii="仿宋_GB2312" w:hAnsi="仿宋_GB2312" w:cs="仿宋_GB2312" w:eastAsia="仿宋_GB2312"/>
                      <w:sz w:val="20"/>
                      <w:color w:val="000000"/>
                    </w:rPr>
                    <w:t>3.整机具备视力检测功能，测试完成后可直接生成视力检测档案。</w:t>
                  </w:r>
                </w:p>
              </w:tc>
              <w:tc>
                <w:tcPr>
                  <w:tcW w:type="dxa" w:w="157"/>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r>
            <w:tr>
              <w:tc>
                <w:tcPr>
                  <w:tcW w:type="dxa" w:w="157"/>
                  <w:vMerge/>
                  <w:tcBorders>
                    <w:top w:val="none" w:color="000000" w:sz="4"/>
                    <w:left w:val="single" w:color="000000" w:sz="4"/>
                    <w:bottom w:val="single" w:color="000000" w:sz="4"/>
                    <w:right w:val="single" w:color="000000" w:sz="4"/>
                  </w:tcBorders>
                </w:tcPr>
                <w:p/>
              </w:tc>
              <w:tc>
                <w:tcPr>
                  <w:tcW w:type="dxa" w:w="405"/>
                  <w:vMerge/>
                  <w:tcBorders>
                    <w:top w:val="none" w:color="000000" w:sz="4"/>
                    <w:left w:val="single" w:color="000000" w:sz="4"/>
                    <w:bottom w:val="single" w:color="000000" w:sz="4"/>
                    <w:right w:val="single" w:color="000000" w:sz="4"/>
                  </w:tcBorders>
                </w:tcP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九、触控性能</w:t>
                  </w:r>
                  <w:r>
                    <w:br/>
                  </w:r>
                  <w:r>
                    <w:rPr>
                      <w:rFonts w:ascii="仿宋_GB2312" w:hAnsi="仿宋_GB2312" w:cs="仿宋_GB2312" w:eastAsia="仿宋_GB2312"/>
                      <w:sz w:val="20"/>
                      <w:color w:val="000000"/>
                    </w:rPr>
                    <w:t>1.整机Windows系统和Android系统均支持≥20点触控。</w:t>
                  </w:r>
                  <w:r>
                    <w:br/>
                  </w:r>
                  <w:r>
                    <w:rPr>
                      <w:rFonts w:ascii="仿宋_GB2312" w:hAnsi="仿宋_GB2312" w:cs="仿宋_GB2312" w:eastAsia="仿宋_GB2312"/>
                      <w:sz w:val="20"/>
                      <w:color w:val="000000"/>
                    </w:rPr>
                    <w:t>2.触摸分辨率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32768×32768。</w:t>
                  </w:r>
                  <w:r>
                    <w:br/>
                  </w:r>
                  <w:r>
                    <w:rPr>
                      <w:rFonts w:ascii="仿宋_GB2312" w:hAnsi="仿宋_GB2312" w:cs="仿宋_GB2312" w:eastAsia="仿宋_GB2312"/>
                      <w:sz w:val="20"/>
                      <w:color w:val="000000"/>
                    </w:rPr>
                    <w:t>3.触摸响应≤4ms。</w:t>
                  </w:r>
                  <w:r>
                    <w:br/>
                  </w:r>
                  <w:r>
                    <w:rPr>
                      <w:rFonts w:ascii="仿宋_GB2312" w:hAnsi="仿宋_GB2312" w:cs="仿宋_GB2312" w:eastAsia="仿宋_GB2312"/>
                      <w:sz w:val="20"/>
                      <w:color w:val="000000"/>
                    </w:rPr>
                    <w:t>4.支持智能板擦功能，系统可根据触控物体的形状自动识别出实物板擦。</w:t>
                  </w:r>
                  <w:r>
                    <w:br/>
                  </w:r>
                  <w:r>
                    <w:rPr>
                      <w:rFonts w:ascii="仿宋_GB2312" w:hAnsi="仿宋_GB2312" w:cs="仿宋_GB2312" w:eastAsia="仿宋_GB2312"/>
                      <w:sz w:val="20"/>
                      <w:color w:val="000000"/>
                    </w:rPr>
                    <w:t>3.触摸屏具有防遮挡功能，触摸接收器在单点或多点遮挡后仍能正常书写。</w:t>
                  </w:r>
                </w:p>
              </w:tc>
              <w:tc>
                <w:tcPr>
                  <w:tcW w:type="dxa" w:w="157"/>
                  <w:vMerge/>
                  <w:tcBorders>
                    <w:top w:val="none" w:color="000000" w:sz="4"/>
                    <w:left w:val="single" w:color="000000" w:sz="4"/>
                    <w:bottom w:val="single" w:color="000000" w:sz="4"/>
                    <w:right w:val="single" w:color="000000" w:sz="4"/>
                  </w:tcBorders>
                </w:tcPr>
                <w:p/>
              </w:tc>
              <w:tc>
                <w:tcPr>
                  <w:tcW w:type="dxa" w:w="154"/>
                  <w:vMerge/>
                  <w:tcBorders>
                    <w:top w:val="none" w:color="000000" w:sz="4"/>
                    <w:left w:val="single" w:color="000000" w:sz="4"/>
                    <w:bottom w:val="single" w:color="000000" w:sz="4"/>
                    <w:right w:val="single" w:color="000000" w:sz="4"/>
                  </w:tcBorders>
                </w:tc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音箱</w:t>
                  </w: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1、外置USB2.4G信号接收盒，开机自动进入配对状态，近距离配对、配对成功后有提示音，能满足同一场所大批量使用，不串频、抗干扰性强。</w:t>
                  </w:r>
                  <w:r>
                    <w:br/>
                  </w:r>
                  <w:r>
                    <w:rPr>
                      <w:rFonts w:ascii="仿宋_GB2312" w:hAnsi="仿宋_GB2312" w:cs="仿宋_GB2312" w:eastAsia="仿宋_GB2312"/>
                      <w:sz w:val="20"/>
                      <w:color w:val="000000"/>
                    </w:rPr>
                    <w:t>2、内置数字IC功率放大器，170V-240V开关电源宽电压设计。</w:t>
                  </w:r>
                  <w:r>
                    <w:br/>
                  </w:r>
                  <w:r>
                    <w:rPr>
                      <w:rFonts w:ascii="仿宋_GB2312" w:hAnsi="仿宋_GB2312" w:cs="仿宋_GB2312" w:eastAsia="仿宋_GB2312"/>
                      <w:sz w:val="20"/>
                      <w:color w:val="000000"/>
                    </w:rPr>
                    <w:t>3、二单元设计、6.5寸低音喇叭、2寸高音喇叭。</w:t>
                  </w:r>
                  <w:r>
                    <w:br/>
                  </w:r>
                  <w:r>
                    <w:rPr>
                      <w:rFonts w:ascii="仿宋_GB2312" w:hAnsi="仿宋_GB2312" w:cs="仿宋_GB2312" w:eastAsia="仿宋_GB2312"/>
                      <w:sz w:val="20"/>
                      <w:color w:val="000000"/>
                    </w:rPr>
                    <w:t>4、适用于各类多媒体教室、电教室、普通教室。</w:t>
                  </w:r>
                  <w:r>
                    <w:br/>
                  </w:r>
                  <w:r>
                    <w:rPr>
                      <w:rFonts w:ascii="仿宋_GB2312" w:hAnsi="仿宋_GB2312" w:cs="仿宋_GB2312" w:eastAsia="仿宋_GB2312"/>
                      <w:sz w:val="20"/>
                      <w:color w:val="000000"/>
                    </w:rPr>
                    <w:t>5、使用频率：2400-2485MHz</w:t>
                  </w:r>
                  <w:r>
                    <w:br/>
                  </w:r>
                  <w:r>
                    <w:rPr>
                      <w:rFonts w:ascii="仿宋_GB2312" w:hAnsi="仿宋_GB2312" w:cs="仿宋_GB2312" w:eastAsia="仿宋_GB2312"/>
                      <w:sz w:val="20"/>
                      <w:color w:val="000000"/>
                    </w:rPr>
                    <w:t>6、输出功率：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2×60W</w:t>
                  </w:r>
                  <w:r>
                    <w:br/>
                  </w:r>
                  <w:r>
                    <w:rPr>
                      <w:rFonts w:ascii="仿宋_GB2312" w:hAnsi="仿宋_GB2312" w:cs="仿宋_GB2312" w:eastAsia="仿宋_GB2312"/>
                      <w:sz w:val="20"/>
                      <w:color w:val="000000"/>
                    </w:rPr>
                    <w:t>7、工作频率：2400-2485MHz。</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校园网服务器</w:t>
                  </w: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1、2*英特4316(≥2.3GHz/20-Core/30MB/150W)Ice lake或同等性能处理器(带2U型材散热器)</w:t>
                  </w:r>
                </w:p>
                <w:p>
                  <w:pPr>
                    <w:pStyle w:val="null3"/>
                    <w:numPr>
                      <w:ilvl w:val="0"/>
                      <w:numId w:val="2"/>
                    </w:numPr>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192G DDR4 内存</w:t>
                  </w:r>
                </w:p>
                <w:p>
                  <w:pPr>
                    <w:pStyle w:val="null3"/>
                    <w:numPr>
                      <w:ilvl w:val="0"/>
                      <w:numId w:val="2"/>
                    </w:numPr>
                    <w:jc w:val="both"/>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2*480G SSD固态硬盘+4*6T SATA</w:t>
                  </w:r>
                </w:p>
                <w:p>
                  <w:pPr>
                    <w:pStyle w:val="null3"/>
                    <w:numPr>
                      <w:ilvl w:val="0"/>
                      <w:numId w:val="2"/>
                    </w:numPr>
                    <w:jc w:val="both"/>
                  </w:pPr>
                  <w:r>
                    <w:rPr>
                      <w:rFonts w:ascii="仿宋_GB2312" w:hAnsi="仿宋_GB2312" w:cs="仿宋_GB2312" w:eastAsia="仿宋_GB2312"/>
                      <w:sz w:val="20"/>
                      <w:color w:val="000000"/>
                    </w:rPr>
                    <w:t>控制器缓存</w:t>
                  </w:r>
                  <w:r>
                    <w:rPr>
                      <w:rFonts w:ascii="仿宋_GB2312" w:hAnsi="仿宋_GB2312" w:cs="仿宋_GB2312" w:eastAsia="仿宋_GB2312"/>
                      <w:sz w:val="20"/>
                      <w:color w:val="000000"/>
                    </w:rPr>
                    <w:t>≥</w:t>
                  </w:r>
                  <w:r>
                    <w:rPr>
                      <w:rFonts w:ascii="仿宋_GB2312" w:hAnsi="仿宋_GB2312" w:cs="仿宋_GB2312" w:eastAsia="仿宋_GB2312"/>
                      <w:sz w:val="20"/>
                      <w:color w:val="000000"/>
                    </w:rPr>
                    <w:t>2G</w:t>
                  </w:r>
                </w:p>
                <w:p>
                  <w:pPr>
                    <w:pStyle w:val="null3"/>
                    <w:numPr>
                      <w:ilvl w:val="0"/>
                      <w:numId w:val="2"/>
                    </w:numPr>
                    <w:jc w:val="both"/>
                  </w:pPr>
                  <w:r>
                    <w:rPr>
                      <w:rFonts w:ascii="仿宋_GB2312" w:hAnsi="仿宋_GB2312" w:cs="仿宋_GB2312" w:eastAsia="仿宋_GB2312"/>
                      <w:sz w:val="20"/>
                      <w:color w:val="000000"/>
                    </w:rPr>
                    <w:t>阵列支持</w:t>
                  </w:r>
                  <w:r>
                    <w:rPr>
                      <w:rFonts w:ascii="仿宋_GB2312" w:hAnsi="仿宋_GB2312" w:cs="仿宋_GB2312" w:eastAsia="仿宋_GB2312"/>
                      <w:sz w:val="20"/>
                      <w:color w:val="000000"/>
                    </w:rPr>
                    <w:t>0.1.5.6.10.50.60</w:t>
                  </w:r>
                </w:p>
                <w:p>
                  <w:pPr>
                    <w:pStyle w:val="null3"/>
                    <w:numPr>
                      <w:ilvl w:val="0"/>
                      <w:numId w:val="2"/>
                    </w:numPr>
                    <w:jc w:val="both"/>
                  </w:pPr>
                  <w:r>
                    <w:rPr>
                      <w:rFonts w:ascii="仿宋_GB2312" w:hAnsi="仿宋_GB2312" w:cs="仿宋_GB2312" w:eastAsia="仿宋_GB2312"/>
                      <w:sz w:val="20"/>
                      <w:color w:val="000000"/>
                    </w:rPr>
                    <w:t>2*GE</w:t>
                  </w:r>
                </w:p>
                <w:p>
                  <w:pPr>
                    <w:pStyle w:val="null3"/>
                    <w:numPr>
                      <w:ilvl w:val="0"/>
                      <w:numId w:val="2"/>
                    </w:numPr>
                    <w:jc w:val="both"/>
                  </w:pPr>
                  <w:r>
                    <w:rPr>
                      <w:rFonts w:ascii="仿宋_GB2312" w:hAnsi="仿宋_GB2312" w:cs="仿宋_GB2312" w:eastAsia="仿宋_GB2312"/>
                      <w:sz w:val="20"/>
                      <w:color w:val="000000"/>
                    </w:rPr>
                    <w:t>配置</w:t>
                  </w:r>
                  <w:r>
                    <w:rPr>
                      <w:rFonts w:ascii="仿宋_GB2312" w:hAnsi="仿宋_GB2312" w:cs="仿宋_GB2312" w:eastAsia="仿宋_GB2312"/>
                      <w:sz w:val="20"/>
                      <w:color w:val="000000"/>
                    </w:rPr>
                    <w:t>2台≥900W电源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技能大赛提升培训</w:t>
                  </w:r>
                </w:p>
              </w:tc>
              <w:tc>
                <w:tcPr>
                  <w:tcW w:type="dxa" w:w="2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提供国家级、省级技能大赛专业辅导团队订制辅导，能够培养教师和竞赛学生具有对接产业行业、对应岗位及核心能力：</w:t>
                  </w:r>
                  <w:r>
                    <w:br/>
                  </w:r>
                  <w:r>
                    <w:rPr>
                      <w:rFonts w:ascii="仿宋_GB2312" w:hAnsi="仿宋_GB2312" w:cs="仿宋_GB2312" w:eastAsia="仿宋_GB2312"/>
                      <w:sz w:val="20"/>
                      <w:color w:val="000000"/>
                    </w:rPr>
                    <w:t>1.具备良好的沟通和协调能力，能进行有效的沟通和协作，确保创意方案的质量和实现效果；</w:t>
                  </w:r>
                  <w:r>
                    <w:br/>
                  </w:r>
                  <w:r>
                    <w:rPr>
                      <w:rFonts w:ascii="仿宋_GB2312" w:hAnsi="仿宋_GB2312" w:cs="仿宋_GB2312" w:eastAsia="仿宋_GB2312"/>
                      <w:sz w:val="20"/>
                      <w:color w:val="000000"/>
                    </w:rPr>
                    <w:t>2.具备策划思维，能够为影片提供创意能力；</w:t>
                  </w:r>
                  <w:r>
                    <w:br/>
                  </w:r>
                  <w:r>
                    <w:rPr>
                      <w:rFonts w:ascii="仿宋_GB2312" w:hAnsi="仿宋_GB2312" w:cs="仿宋_GB2312" w:eastAsia="仿宋_GB2312"/>
                      <w:sz w:val="20"/>
                      <w:color w:val="000000"/>
                    </w:rPr>
                    <w:t>3.具备基本的文字功底和文案编写能力；</w:t>
                  </w:r>
                  <w:r>
                    <w:br/>
                  </w:r>
                  <w:r>
                    <w:rPr>
                      <w:rFonts w:ascii="仿宋_GB2312" w:hAnsi="仿宋_GB2312" w:cs="仿宋_GB2312" w:eastAsia="仿宋_GB2312"/>
                      <w:sz w:val="20"/>
                      <w:color w:val="000000"/>
                    </w:rPr>
                    <w:t>4.具有运用平面摄影的技术技能和拍摄各类题材图片的能力；</w:t>
                  </w:r>
                  <w:r>
                    <w:br/>
                  </w:r>
                  <w:r>
                    <w:rPr>
                      <w:rFonts w:ascii="仿宋_GB2312" w:hAnsi="仿宋_GB2312" w:cs="仿宋_GB2312" w:eastAsia="仿宋_GB2312"/>
                      <w:sz w:val="20"/>
                      <w:color w:val="000000"/>
                    </w:rPr>
                    <w:t>5.具有运用影像编辑的技术技能完成影视剪辑与画面后期处理的能力；</w:t>
                  </w:r>
                  <w:r>
                    <w:br/>
                  </w:r>
                  <w:r>
                    <w:rPr>
                      <w:rFonts w:ascii="仿宋_GB2312" w:hAnsi="仿宋_GB2312" w:cs="仿宋_GB2312" w:eastAsia="仿宋_GB2312"/>
                      <w:sz w:val="20"/>
                      <w:color w:val="000000"/>
                    </w:rPr>
                    <w:t>6.具有运用影视包装的技术技能完成特效制作、后期合成与节目包装的能力；</w:t>
                  </w:r>
                  <w:r>
                    <w:br/>
                  </w:r>
                  <w:r>
                    <w:rPr>
                      <w:rFonts w:ascii="仿宋_GB2312" w:hAnsi="仿宋_GB2312" w:cs="仿宋_GB2312" w:eastAsia="仿宋_GB2312"/>
                      <w:sz w:val="20"/>
                      <w:color w:val="000000"/>
                    </w:rPr>
                    <w:t>7.具有运用信息技术和传媒领域数字化的技能，具有制作短视频的能力；</w:t>
                  </w:r>
                  <w:r>
                    <w:br/>
                  </w:r>
                  <w:r>
                    <w:rPr>
                      <w:rFonts w:ascii="仿宋_GB2312" w:hAnsi="仿宋_GB2312" w:cs="仿宋_GB2312" w:eastAsia="仿宋_GB2312"/>
                      <w:sz w:val="20"/>
                      <w:color w:val="000000"/>
                    </w:rPr>
                    <w:t>8.具有电视节目、专题片、宣传片、短 视频、 网络直播等不同类型影像的剪 辑、包装与制作的初步能力；</w:t>
                  </w:r>
                  <w:r>
                    <w:br/>
                  </w:r>
                  <w:r>
                    <w:rPr>
                      <w:rFonts w:ascii="仿宋_GB2312" w:hAnsi="仿宋_GB2312" w:cs="仿宋_GB2312" w:eastAsia="仿宋_GB2312"/>
                      <w:sz w:val="20"/>
                      <w:color w:val="000000"/>
                    </w:rPr>
                    <w:t>9.具有数码相机、数码摄像机及辅助设备的操作及表现等技术能力；</w:t>
                  </w:r>
                  <w:r>
                    <w:br/>
                  </w:r>
                  <w:r>
                    <w:rPr>
                      <w:rFonts w:ascii="仿宋_GB2312" w:hAnsi="仿宋_GB2312" w:cs="仿宋_GB2312" w:eastAsia="仿宋_GB2312"/>
                      <w:sz w:val="20"/>
                      <w:color w:val="000000"/>
                    </w:rPr>
                    <w:t>10．具有摄影的后期制作、视频素材的剪辑等技术能力；</w:t>
                  </w:r>
                  <w:r>
                    <w:br/>
                  </w:r>
                  <w:r>
                    <w:rPr>
                      <w:rFonts w:ascii="仿宋_GB2312" w:hAnsi="仿宋_GB2312" w:cs="仿宋_GB2312" w:eastAsia="仿宋_GB2312"/>
                      <w:sz w:val="20"/>
                      <w:color w:val="000000"/>
                    </w:rPr>
                    <w:t>11.具备图形图像处理、数字媒体素材与 资源制作的能力；</w:t>
                  </w:r>
                  <w:r>
                    <w:br/>
                  </w:r>
                  <w:r>
                    <w:rPr>
                      <w:rFonts w:ascii="仿宋_GB2312" w:hAnsi="仿宋_GB2312" w:cs="仿宋_GB2312" w:eastAsia="仿宋_GB2312"/>
                      <w:sz w:val="20"/>
                      <w:color w:val="000000"/>
                    </w:rPr>
                    <w:t>12.具备数字媒体素材处理、简单的动画 设计能力；</w:t>
                  </w:r>
                  <w:r>
                    <w:br/>
                  </w:r>
                  <w:r>
                    <w:rPr>
                      <w:rFonts w:ascii="仿宋_GB2312" w:hAnsi="仿宋_GB2312" w:cs="仿宋_GB2312" w:eastAsia="仿宋_GB2312"/>
                      <w:sz w:val="20"/>
                      <w:color w:val="000000"/>
                    </w:rPr>
                    <w:t>13.具有制作、发布、维护和优化移动内 容的能力；</w:t>
                  </w:r>
                  <w:r>
                    <w:br/>
                  </w:r>
                  <w:r>
                    <w:rPr>
                      <w:rFonts w:ascii="仿宋_GB2312" w:hAnsi="仿宋_GB2312" w:cs="仿宋_GB2312" w:eastAsia="仿宋_GB2312"/>
                      <w:sz w:val="20"/>
                      <w:color w:val="000000"/>
                    </w:rPr>
                    <w:t>14.掌握主流直播电商平台规则，具有使用常用工具完成短视频、直播海报、 新媒体文案等内容制作、推送、优化的能力；</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15. 师资团队资质要求：投标人须配备具备国家级、省级短视频制作技能大赛订制辅导经验的专项师资团队，团队核心讲师须具备近3年省赛、国赛专家资格并担任省赛及国赛裁判资格，辅导获奖案例，提供讲师简介。</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16. 培训目标硬性要求：本项目培训必须完整落地</w:t>
                  </w:r>
                  <w:r>
                    <w:rPr>
                      <w:rFonts w:ascii="仿宋_GB2312" w:hAnsi="仿宋_GB2312" w:cs="仿宋_GB2312" w:eastAsia="仿宋_GB2312"/>
                      <w:sz w:val="20"/>
                      <w:color w:val="000000"/>
                    </w:rPr>
                    <w:t>≥</w:t>
                  </w:r>
                  <w:r>
                    <w:rPr>
                      <w:rFonts w:ascii="仿宋_GB2312" w:hAnsi="仿宋_GB2312" w:cs="仿宋_GB2312" w:eastAsia="仿宋_GB2312"/>
                      <w:sz w:val="20"/>
                      <w:color w:val="000000"/>
                    </w:rPr>
                    <w:t>14项师生核心岗位竞赛能力，所有能力均需配套对应课程、实操任务、考核标准、成果输出，缺一不可，未全覆盖视为实质性负偏离，直接废标。</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17. 过程留痕要求：全部培训过程可溯源、可核验，实操作品、学员作业、考核成绩、培训台账。</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18. 成果交付要求：培训结束须输出学生个人能力测评报告备赛指导方案，使培训学生达到本省一等奖的实力和水平。</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19. 售后保障要求：质保期内全程跟进赛事，提供赛前作品一对一打磨、赛题解读、临场指导、问题答疑服务，全程免费。</w:t>
                  </w:r>
                  <w:r>
                    <w:br/>
                  </w:r>
                  <w:r>
                    <w:rPr>
                      <w:rFonts w:ascii="仿宋_GB2312" w:hAnsi="仿宋_GB2312" w:cs="仿宋_GB2312" w:eastAsia="仿宋_GB2312"/>
                      <w:sz w:val="20"/>
                      <w:color w:val="000000"/>
                    </w:rPr>
                    <w:t>二、项目整体量化培训指标</w:t>
                  </w:r>
                  <w:r>
                    <w:br/>
                  </w:r>
                  <w:r>
                    <w:rPr>
                      <w:rFonts w:ascii="仿宋_GB2312" w:hAnsi="仿宋_GB2312" w:cs="仿宋_GB2312" w:eastAsia="仿宋_GB2312"/>
                      <w:sz w:val="20"/>
                      <w:color w:val="000000"/>
                    </w:rPr>
                    <w:t>1. 培训对象：中职短视频赛项参赛教师、在校竞赛学生。</w:t>
                  </w:r>
                  <w:r>
                    <w:br/>
                  </w:r>
                  <w:r>
                    <w:rPr>
                      <w:rFonts w:ascii="仿宋_GB2312" w:hAnsi="仿宋_GB2312" w:cs="仿宋_GB2312" w:eastAsia="仿宋_GB2312"/>
                      <w:sz w:val="20"/>
                      <w:color w:val="000000"/>
                    </w:rPr>
                    <w:t>2. 培训总课时：总培训学时≥100课时，其中理论授课≥30课时、实操集训≥60课时，实操占比不低于60%。</w:t>
                  </w:r>
                  <w:r>
                    <w:br/>
                  </w:r>
                  <w:r>
                    <w:rPr>
                      <w:rFonts w:ascii="仿宋_GB2312" w:hAnsi="仿宋_GB2312" w:cs="仿宋_GB2312" w:eastAsia="仿宋_GB2312"/>
                      <w:sz w:val="20"/>
                      <w:color w:val="000000"/>
                    </w:rPr>
                    <w:t>3. 培训模式：采用“理论精讲+案例拆解+实操训练+一对一打磨+模拟竞赛+考核结业”模式，分层培优、因材施教。</w:t>
                  </w:r>
                  <w:r>
                    <w:br/>
                  </w:r>
                  <w:r>
                    <w:rPr>
                      <w:rFonts w:ascii="仿宋_GB2312" w:hAnsi="仿宋_GB2312" w:cs="仿宋_GB2312" w:eastAsia="仿宋_GB2312"/>
                      <w:sz w:val="20"/>
                      <w:color w:val="000000"/>
                    </w:rPr>
                    <w:t>4. 考核通过率：参训学员14项核心能力考核达标率≥95%，未达标学员需免费二次补训。</w:t>
                  </w:r>
                  <w:r>
                    <w:br/>
                  </w:r>
                  <w:r>
                    <w:rPr>
                      <w:rFonts w:ascii="仿宋_GB2312" w:hAnsi="仿宋_GB2312" w:cs="仿宋_GB2312" w:eastAsia="仿宋_GB2312"/>
                      <w:sz w:val="20"/>
                      <w:color w:val="000000"/>
                    </w:rPr>
                    <w:t>5. 案例资源：培训全程使用近3年国赛、省赛真题、优秀获奖作品、典型失分案例，案例数量≥20个。</w:t>
                  </w:r>
                  <w:r>
                    <w:br/>
                  </w:r>
                  <w:r>
                    <w:rPr>
                      <w:rFonts w:ascii="仿宋_GB2312" w:hAnsi="仿宋_GB2312" w:cs="仿宋_GB2312" w:eastAsia="仿宋_GB2312"/>
                      <w:sz w:val="20"/>
                      <w:color w:val="000000"/>
                    </w:rPr>
                    <w:t>三、</w:t>
                  </w:r>
                  <w:r>
                    <w:rPr>
                      <w:rFonts w:ascii="仿宋_GB2312" w:hAnsi="仿宋_GB2312" w:cs="仿宋_GB2312" w:eastAsia="仿宋_GB2312"/>
                      <w:sz w:val="20"/>
                      <w:color w:val="000000"/>
                    </w:rPr>
                    <w:t>14项核心能力量化培训及考核标准</w:t>
                  </w:r>
                  <w:r>
                    <w:br/>
                  </w:r>
                  <w:r>
                    <w:rPr>
                      <w:rFonts w:ascii="仿宋_GB2312" w:hAnsi="仿宋_GB2312" w:cs="仿宋_GB2312" w:eastAsia="仿宋_GB2312"/>
                      <w:sz w:val="20"/>
                      <w:color w:val="000000"/>
                    </w:rPr>
                    <w:t>1. 沟通协调与创意落地能力</w:t>
                  </w:r>
                  <w:r>
                    <w:br/>
                  </w:r>
                  <w:r>
                    <w:rPr>
                      <w:rFonts w:ascii="仿宋_GB2312" w:hAnsi="仿宋_GB2312" w:cs="仿宋_GB2312" w:eastAsia="仿宋_GB2312"/>
                      <w:sz w:val="20"/>
                      <w:color w:val="000000"/>
                    </w:rPr>
                    <w:t>培训内容：项目协作流程、创意沟通逻辑、方案对接、需求落地校验；训练任务、团队协作、创新创意、方案打磨；考核标准：可独立完成小组创意沟通、方案对齐、落地校验，无沟通偏差、方案落地完整，达标率</w:t>
                  </w:r>
                  <w:r>
                    <w:rPr>
                      <w:rFonts w:ascii="仿宋_GB2312" w:hAnsi="仿宋_GB2312" w:cs="仿宋_GB2312" w:eastAsia="仿宋_GB2312"/>
                      <w:sz w:val="20"/>
                      <w:color w:val="000000"/>
                    </w:rPr>
                    <w:t>100%。</w:t>
                  </w:r>
                  <w:r>
                    <w:br/>
                  </w:r>
                  <w:r>
                    <w:rPr>
                      <w:rFonts w:ascii="仿宋_GB2312" w:hAnsi="仿宋_GB2312" w:cs="仿宋_GB2312" w:eastAsia="仿宋_GB2312"/>
                      <w:sz w:val="20"/>
                      <w:color w:val="000000"/>
                    </w:rPr>
                    <w:t>2. 影片创意策划思维能力</w:t>
                  </w:r>
                  <w:r>
                    <w:br/>
                  </w:r>
                  <w:r>
                    <w:rPr>
                      <w:rFonts w:ascii="仿宋_GB2312" w:hAnsi="仿宋_GB2312" w:cs="仿宋_GB2312" w:eastAsia="仿宋_GB2312"/>
                      <w:sz w:val="20"/>
                      <w:color w:val="000000"/>
                    </w:rPr>
                    <w:t>培训内容：短视频</w:t>
                  </w:r>
                  <w:r>
                    <w:rPr>
                      <w:rFonts w:ascii="仿宋_GB2312" w:hAnsi="仿宋_GB2312" w:cs="仿宋_GB2312" w:eastAsia="仿宋_GB2312"/>
                      <w:sz w:val="20"/>
                      <w:color w:val="000000"/>
                    </w:rPr>
                    <w:t>/宣传片/专题片策划逻辑、主题定位、脚本创意、赛题破题思维；完成≥12套不同赛题主题原创策划方案；考核标准：可独立完成赛事命题破题、主题创意、框架策划，贴合竞赛评分标准。</w:t>
                  </w:r>
                  <w:r>
                    <w:br/>
                  </w:r>
                  <w:r>
                    <w:rPr>
                      <w:rFonts w:ascii="仿宋_GB2312" w:hAnsi="仿宋_GB2312" w:cs="仿宋_GB2312" w:eastAsia="仿宋_GB2312"/>
                      <w:sz w:val="20"/>
                      <w:color w:val="000000"/>
                    </w:rPr>
                    <w:t>3. 文案编写与文字功底能力</w:t>
                  </w:r>
                  <w:r>
                    <w:br/>
                  </w:r>
                  <w:r>
                    <w:rPr>
                      <w:rFonts w:ascii="仿宋_GB2312" w:hAnsi="仿宋_GB2312" w:cs="仿宋_GB2312" w:eastAsia="仿宋_GB2312"/>
                      <w:sz w:val="20"/>
                      <w:color w:val="000000"/>
                    </w:rPr>
                    <w:t>培训内容：短视频脚本文案、解说词、字幕文案、宣传文案撰写；完成</w:t>
                  </w:r>
                  <w:r>
                    <w:rPr>
                      <w:rFonts w:ascii="仿宋_GB2312" w:hAnsi="仿宋_GB2312" w:cs="仿宋_GB2312" w:eastAsia="仿宋_GB2312"/>
                      <w:sz w:val="20"/>
                      <w:color w:val="000000"/>
                    </w:rPr>
                    <w:t>≥15篇赛事标准原创文案、10套完整脚本文案；考核标准：文案通顺、贴合主题、适配镜头节奏、符合赛事合规要求，无语病、无违规表述。</w:t>
                  </w:r>
                  <w:r>
                    <w:br/>
                  </w:r>
                  <w:r>
                    <w:rPr>
                      <w:rFonts w:ascii="仿宋_GB2312" w:hAnsi="仿宋_GB2312" w:cs="仿宋_GB2312" w:eastAsia="仿宋_GB2312"/>
                      <w:sz w:val="20"/>
                      <w:color w:val="000000"/>
                    </w:rPr>
                    <w:t>4. 平面摄影技术与多题材拍摄能力</w:t>
                  </w:r>
                  <w:r>
                    <w:br/>
                  </w:r>
                  <w:r>
                    <w:rPr>
                      <w:rFonts w:ascii="仿宋_GB2312" w:hAnsi="仿宋_GB2312" w:cs="仿宋_GB2312" w:eastAsia="仿宋_GB2312"/>
                      <w:sz w:val="20"/>
                      <w:color w:val="000000"/>
                    </w:rPr>
                    <w:t>培训内容：构图、光影、景别、色彩、机位运用；人像、校园、文旅、产品、纪实多题材拍摄；完成</w:t>
                  </w:r>
                  <w:r>
                    <w:rPr>
                      <w:rFonts w:ascii="仿宋_GB2312" w:hAnsi="仿宋_GB2312" w:cs="仿宋_GB2312" w:eastAsia="仿宋_GB2312"/>
                      <w:sz w:val="20"/>
                      <w:color w:val="000000"/>
                    </w:rPr>
                    <w:t>≥50张标准参赛级摄影作品；考核标准：画面构图规范、光影均匀、主体突出、符合赛事画面评分维度。</w:t>
                  </w:r>
                  <w:r>
                    <w:br/>
                  </w:r>
                  <w:r>
                    <w:rPr>
                      <w:rFonts w:ascii="仿宋_GB2312" w:hAnsi="仿宋_GB2312" w:cs="仿宋_GB2312" w:eastAsia="仿宋_GB2312"/>
                      <w:sz w:val="20"/>
                      <w:color w:val="000000"/>
                    </w:rPr>
                    <w:t>5. 影像剪辑与后期画面处理能力</w:t>
                  </w:r>
                  <w:r>
                    <w:br/>
                  </w:r>
                  <w:r>
                    <w:rPr>
                      <w:rFonts w:ascii="仿宋_GB2312" w:hAnsi="仿宋_GB2312" w:cs="仿宋_GB2312" w:eastAsia="仿宋_GB2312"/>
                      <w:sz w:val="20"/>
                      <w:color w:val="000000"/>
                    </w:rPr>
                    <w:t>培训内容：</w:t>
                  </w:r>
                  <w:r>
                    <w:rPr>
                      <w:rFonts w:ascii="仿宋_GB2312" w:hAnsi="仿宋_GB2312" w:cs="仿宋_GB2312" w:eastAsia="仿宋_GB2312"/>
                      <w:sz w:val="20"/>
                      <w:color w:val="000000"/>
                    </w:rPr>
                    <w:t>PR基础操作、剪辑节奏、素材精剪、画面调色、瑕疵修复、画面规整；完成≥20条赛事标准短视频精剪作品；考核标准：剪辑流畅、节奏舒适、无卡顿跳帧、调色统一、画面干净。</w:t>
                  </w:r>
                  <w:r>
                    <w:br/>
                  </w:r>
                  <w:r>
                    <w:rPr>
                      <w:rFonts w:ascii="仿宋_GB2312" w:hAnsi="仿宋_GB2312" w:cs="仿宋_GB2312" w:eastAsia="仿宋_GB2312"/>
                      <w:sz w:val="20"/>
                      <w:color w:val="000000"/>
                    </w:rPr>
                    <w:t>6. 影视包装与特效合成能力</w:t>
                  </w:r>
                  <w:r>
                    <w:br/>
                  </w:r>
                  <w:r>
                    <w:rPr>
                      <w:rFonts w:ascii="仿宋_GB2312" w:hAnsi="仿宋_GB2312" w:cs="仿宋_GB2312" w:eastAsia="仿宋_GB2312"/>
                      <w:sz w:val="20"/>
                      <w:color w:val="000000"/>
                    </w:rPr>
                    <w:t>培训内容：特效制作、动态包装、字幕包装、转场合成、片头片尾制作；完成</w:t>
                  </w:r>
                  <w:r>
                    <w:rPr>
                      <w:rFonts w:ascii="仿宋_GB2312" w:hAnsi="仿宋_GB2312" w:cs="仿宋_GB2312" w:eastAsia="仿宋_GB2312"/>
                      <w:sz w:val="20"/>
                      <w:color w:val="000000"/>
                    </w:rPr>
                    <w:t>≥15套赛事标准包装成片；考核标准：包装精致、特效适度、贴合主题、符合赛项审美规范，无过度包装扣分问题。</w:t>
                  </w:r>
                  <w:r>
                    <w:br/>
                  </w:r>
                  <w:r>
                    <w:rPr>
                      <w:rFonts w:ascii="仿宋_GB2312" w:hAnsi="仿宋_GB2312" w:cs="仿宋_GB2312" w:eastAsia="仿宋_GB2312"/>
                      <w:sz w:val="20"/>
                      <w:color w:val="000000"/>
                    </w:rPr>
                    <w:t>7. 传媒数字化与短视频制作能力</w:t>
                  </w:r>
                  <w:r>
                    <w:br/>
                  </w:r>
                  <w:r>
                    <w:rPr>
                      <w:rFonts w:ascii="仿宋_GB2312" w:hAnsi="仿宋_GB2312" w:cs="仿宋_GB2312" w:eastAsia="仿宋_GB2312"/>
                      <w:sz w:val="20"/>
                      <w:color w:val="000000"/>
                    </w:rPr>
                    <w:t>培训内容：数字化创作流程、标准化成片输出、赛项格式规范；熟练掌握赛事成片参数标准；完成</w:t>
                  </w:r>
                  <w:r>
                    <w:rPr>
                      <w:rFonts w:ascii="仿宋_GB2312" w:hAnsi="仿宋_GB2312" w:cs="仿宋_GB2312" w:eastAsia="仿宋_GB2312"/>
                      <w:sz w:val="20"/>
                      <w:color w:val="000000"/>
                    </w:rPr>
                    <w:t>≥20条完整原创短视频成片；考核标准：成片参数合规、格式标准、适配竞赛提交要求。</w:t>
                  </w:r>
                  <w:r>
                    <w:br/>
                  </w:r>
                  <w:r>
                    <w:rPr>
                      <w:rFonts w:ascii="仿宋_GB2312" w:hAnsi="仿宋_GB2312" w:cs="仿宋_GB2312" w:eastAsia="仿宋_GB2312"/>
                      <w:sz w:val="20"/>
                      <w:color w:val="000000"/>
                    </w:rPr>
                    <w:t>8. 多类型影像制作综合能力</w:t>
                  </w:r>
                  <w:r>
                    <w:br/>
                  </w:r>
                  <w:r>
                    <w:rPr>
                      <w:rFonts w:ascii="仿宋_GB2312" w:hAnsi="仿宋_GB2312" w:cs="仿宋_GB2312" w:eastAsia="仿宋_GB2312"/>
                      <w:sz w:val="20"/>
                      <w:color w:val="000000"/>
                    </w:rPr>
                    <w:t>覆盖电视短片、专题片、宣传片、剧情短视频、直播切片等多类型创作；每种类型完成</w:t>
                  </w:r>
                  <w:r>
                    <w:rPr>
                      <w:rFonts w:ascii="仿宋_GB2312" w:hAnsi="仿宋_GB2312" w:cs="仿宋_GB2312" w:eastAsia="仿宋_GB2312"/>
                      <w:sz w:val="20"/>
                      <w:color w:val="000000"/>
                    </w:rPr>
                    <w:t>≥3套实操作品；考核标准：可根据不同题材匹配对应拍摄、剪辑、包装风格，适配多元赛事命题。</w:t>
                  </w:r>
                  <w:r>
                    <w:br/>
                  </w:r>
                  <w:r>
                    <w:rPr>
                      <w:rFonts w:ascii="仿宋_GB2312" w:hAnsi="仿宋_GB2312" w:cs="仿宋_GB2312" w:eastAsia="仿宋_GB2312"/>
                      <w:sz w:val="20"/>
                      <w:color w:val="000000"/>
                    </w:rPr>
                    <w:t>9. 摄影摄像设备操作能力</w:t>
                  </w:r>
                  <w:r>
                    <w:br/>
                  </w:r>
                  <w:r>
                    <w:rPr>
                      <w:rFonts w:ascii="仿宋_GB2312" w:hAnsi="仿宋_GB2312" w:cs="仿宋_GB2312" w:eastAsia="仿宋_GB2312"/>
                      <w:sz w:val="20"/>
                      <w:color w:val="000000"/>
                    </w:rPr>
                    <w:t>培训内容：相机、摄像机、三脚架、补光灯、收音设备等全套竞赛设备规范操作；全员完成设备实操考核；考核标准：设备操作熟练、参数调节规范、收音画质达标、无操作失误。</w:t>
                  </w:r>
                  <w:r>
                    <w:br/>
                  </w:r>
                  <w:r>
                    <w:rPr>
                      <w:rFonts w:ascii="仿宋_GB2312" w:hAnsi="仿宋_GB2312" w:cs="仿宋_GB2312" w:eastAsia="仿宋_GB2312"/>
                      <w:sz w:val="20"/>
                      <w:color w:val="000000"/>
                    </w:rPr>
                    <w:t>10. 素材剪辑与摄影后期精修能力</w:t>
                  </w:r>
                  <w:r>
                    <w:br/>
                  </w:r>
                  <w:r>
                    <w:rPr>
                      <w:rFonts w:ascii="仿宋_GB2312" w:hAnsi="仿宋_GB2312" w:cs="仿宋_GB2312" w:eastAsia="仿宋_GB2312"/>
                      <w:sz w:val="20"/>
                      <w:color w:val="000000"/>
                    </w:rPr>
                    <w:t>培训内容：素材筛选、粗剪精剪、画面修复、画面裁切、比例适配；完成</w:t>
                  </w:r>
                  <w:r>
                    <w:rPr>
                      <w:rFonts w:ascii="仿宋_GB2312" w:hAnsi="仿宋_GB2312" w:cs="仿宋_GB2312" w:eastAsia="仿宋_GB2312"/>
                      <w:sz w:val="20"/>
                      <w:color w:val="000000"/>
                    </w:rPr>
                    <w:t>≥30组素材后期处理实操；考核标准：素材利用率高、成片规整、无废帧、画面质感达标。</w:t>
                  </w:r>
                  <w:r>
                    <w:br/>
                  </w:r>
                  <w:r>
                    <w:rPr>
                      <w:rFonts w:ascii="仿宋_GB2312" w:hAnsi="仿宋_GB2312" w:cs="仿宋_GB2312" w:eastAsia="仿宋_GB2312"/>
                      <w:sz w:val="20"/>
                      <w:color w:val="000000"/>
                    </w:rPr>
                    <w:t>11. 图形图像与数字媒体素材制作能力</w:t>
                  </w:r>
                  <w:r>
                    <w:br/>
                  </w:r>
                  <w:r>
                    <w:rPr>
                      <w:rFonts w:ascii="仿宋_GB2312" w:hAnsi="仿宋_GB2312" w:cs="仿宋_GB2312" w:eastAsia="仿宋_GB2312"/>
                      <w:sz w:val="20"/>
                      <w:color w:val="000000"/>
                    </w:rPr>
                    <w:t>培训内容：</w:t>
                  </w:r>
                  <w:r>
                    <w:rPr>
                      <w:rFonts w:ascii="仿宋_GB2312" w:hAnsi="仿宋_GB2312" w:cs="仿宋_GB2312" w:eastAsia="仿宋_GB2312"/>
                      <w:sz w:val="20"/>
                      <w:color w:val="000000"/>
                    </w:rPr>
                    <w:t>PS图形处理、海报制作、素材修图、图文排版；完成≥20张海报、图文素材作品；考核标准：画面规整、排版美观、符合竞赛视觉标准、无版权违规元素。</w:t>
                  </w:r>
                  <w:r>
                    <w:br/>
                  </w:r>
                  <w:r>
                    <w:rPr>
                      <w:rFonts w:ascii="仿宋_GB2312" w:hAnsi="仿宋_GB2312" w:cs="仿宋_GB2312" w:eastAsia="仿宋_GB2312"/>
                      <w:sz w:val="20"/>
                      <w:color w:val="000000"/>
                    </w:rPr>
                    <w:t>12. 数字素材处理与简易动画设计能力</w:t>
                  </w:r>
                  <w:r>
                    <w:br/>
                  </w:r>
                  <w:r>
                    <w:rPr>
                      <w:rFonts w:ascii="仿宋_GB2312" w:hAnsi="仿宋_GB2312" w:cs="仿宋_GB2312" w:eastAsia="仿宋_GB2312"/>
                      <w:sz w:val="20"/>
                      <w:color w:val="000000"/>
                    </w:rPr>
                    <w:t>培训内容：动态素材处理、简易</w:t>
                  </w:r>
                  <w:r>
                    <w:rPr>
                      <w:rFonts w:ascii="仿宋_GB2312" w:hAnsi="仿宋_GB2312" w:cs="仿宋_GB2312" w:eastAsia="仿宋_GB2312"/>
                      <w:sz w:val="20"/>
                      <w:color w:val="000000"/>
                    </w:rPr>
                    <w:t>MG动画、动态字幕、动态图文制作；完成≥10组动态素材及动画作品；考核标准：动态效果流畅、贴合主题、适配短视频竞赛包装需求。</w:t>
                  </w:r>
                  <w:r>
                    <w:br/>
                  </w:r>
                  <w:r>
                    <w:rPr>
                      <w:rFonts w:ascii="仿宋_GB2312" w:hAnsi="仿宋_GB2312" w:cs="仿宋_GB2312" w:eastAsia="仿宋_GB2312"/>
                      <w:sz w:val="20"/>
                      <w:color w:val="000000"/>
                    </w:rPr>
                    <w:t>13. 移动端内容制作发布优化能力</w:t>
                  </w:r>
                  <w:r>
                    <w:br/>
                  </w:r>
                  <w:r>
                    <w:rPr>
                      <w:rFonts w:ascii="仿宋_GB2312" w:hAnsi="仿宋_GB2312" w:cs="仿宋_GB2312" w:eastAsia="仿宋_GB2312"/>
                      <w:sz w:val="20"/>
                      <w:color w:val="000000"/>
                    </w:rPr>
                    <w:t>培训内容：移动端成片适配、封面优化、标题优化、内容排版、作品发布规范；完成</w:t>
                  </w:r>
                  <w:r>
                    <w:rPr>
                      <w:rFonts w:ascii="仿宋_GB2312" w:hAnsi="仿宋_GB2312" w:cs="仿宋_GB2312" w:eastAsia="仿宋_GB2312"/>
                      <w:sz w:val="20"/>
                      <w:color w:val="000000"/>
                    </w:rPr>
                    <w:t>≥12组移动端作品优化实操；考核标准：移动端显示适配、视觉效果佳、符合新媒体传播及赛事展示标准。</w:t>
                  </w:r>
                  <w:r>
                    <w:br/>
                  </w:r>
                  <w:r>
                    <w:rPr>
                      <w:rFonts w:ascii="仿宋_GB2312" w:hAnsi="仿宋_GB2312" w:cs="仿宋_GB2312" w:eastAsia="仿宋_GB2312"/>
                      <w:sz w:val="20"/>
                      <w:color w:val="000000"/>
                    </w:rPr>
                    <w:t>14. 直播电商与新媒体内容运营能力</w:t>
                  </w:r>
                  <w:r>
                    <w:br/>
                  </w:r>
                  <w:r>
                    <w:rPr>
                      <w:rFonts w:ascii="仿宋_GB2312" w:hAnsi="仿宋_GB2312" w:cs="仿宋_GB2312" w:eastAsia="仿宋_GB2312"/>
                      <w:sz w:val="20"/>
                      <w:color w:val="000000"/>
                    </w:rPr>
                    <w:t>培训内容：主流平台规则、短视频推送逻辑、直播基础、文案优化、流量运营、海报制作；完成平台规则测试、运营方案实操、新媒体内容优化作业；考核标准：熟练掌握平台合规要求、可独立完成新媒体内容制作与优化，规避竞赛扣分风险。</w:t>
                  </w:r>
                  <w:r>
                    <w:br/>
                  </w:r>
                  <w:r>
                    <w:rPr>
                      <w:rFonts w:ascii="仿宋_GB2312" w:hAnsi="仿宋_GB2312" w:cs="仿宋_GB2312" w:eastAsia="仿宋_GB2312"/>
                      <w:sz w:val="20"/>
                      <w:color w:val="000000"/>
                    </w:rPr>
                    <w:t>四、培训配套量化服务要求</w:t>
                  </w:r>
                  <w:r>
                    <w:br/>
                  </w:r>
                  <w:r>
                    <w:rPr>
                      <w:rFonts w:ascii="仿宋_GB2312" w:hAnsi="仿宋_GB2312" w:cs="仿宋_GB2312" w:eastAsia="仿宋_GB2312"/>
                      <w:sz w:val="20"/>
                      <w:color w:val="000000"/>
                    </w:rPr>
                    <w:t>1.分层教学：区分教师研修、学生备赛两个层级，分别制定授课计划、实训任务、考核标准。</w:t>
                  </w:r>
                  <w:r>
                    <w:br/>
                  </w:r>
                  <w:r>
                    <w:rPr>
                      <w:rFonts w:ascii="仿宋_GB2312" w:hAnsi="仿宋_GB2312" w:cs="仿宋_GB2312" w:eastAsia="仿宋_GB2312"/>
                      <w:sz w:val="20"/>
                      <w:color w:val="000000"/>
                    </w:rPr>
                    <w:t>2.一对一辅导：每位参训学生不少于3次作品一对一打磨指导，教师不少于2次教研专项指导。</w:t>
                  </w:r>
                  <w:r>
                    <w:br/>
                  </w:r>
                  <w:r>
                    <w:rPr>
                      <w:rFonts w:ascii="仿宋_GB2312" w:hAnsi="仿宋_GB2312" w:cs="仿宋_GB2312" w:eastAsia="仿宋_GB2312"/>
                      <w:sz w:val="20"/>
                      <w:color w:val="000000"/>
                    </w:rPr>
                    <w:t>3.模拟竞赛：组织不少于2次全真模拟赛，对标国赛省赛流程、评分标准开展实战演练，出具模拟赛评分报告与整改建议。</w:t>
                  </w:r>
                  <w:r>
                    <w:br/>
                  </w:r>
                  <w:r>
                    <w:rPr>
                      <w:rFonts w:ascii="仿宋_GB2312" w:hAnsi="仿宋_GB2312" w:cs="仿宋_GB2312" w:eastAsia="仿宋_GB2312"/>
                      <w:sz w:val="20"/>
                      <w:color w:val="000000"/>
                    </w:rPr>
                    <w:t>4. 资料交付：按照国赛省赛文件提交要求完成交付。</w:t>
                  </w:r>
                  <w:r>
                    <w:br/>
                  </w:r>
                  <w:r>
                    <w:rPr>
                      <w:rFonts w:ascii="仿宋_GB2312" w:hAnsi="仿宋_GB2312" w:cs="仿宋_GB2312" w:eastAsia="仿宋_GB2312"/>
                      <w:sz w:val="20"/>
                      <w:color w:val="000000"/>
                    </w:rPr>
                    <w:t>五、完整交付物清单</w:t>
                  </w:r>
                  <w:r>
                    <w:br/>
                  </w:r>
                  <w:r>
                    <w:rPr>
                      <w:rFonts w:ascii="仿宋_GB2312" w:hAnsi="仿宋_GB2312" w:cs="仿宋_GB2312" w:eastAsia="仿宋_GB2312"/>
                      <w:sz w:val="20"/>
                      <w:color w:val="000000"/>
                    </w:rPr>
                    <w:t>1.完整培训实施方案、分层授课计划、14项能力专项训练方案；</w:t>
                  </w:r>
                  <w:r>
                    <w:br/>
                  </w:r>
                  <w:r>
                    <w:rPr>
                      <w:rFonts w:ascii="仿宋_GB2312" w:hAnsi="仿宋_GB2312" w:cs="仿宋_GB2312" w:eastAsia="仿宋_GB2312"/>
                      <w:sz w:val="20"/>
                      <w:color w:val="000000"/>
                    </w:rPr>
                    <w:t>2.全部培训课件、实训素材、案例资源、作业题库；</w:t>
                  </w:r>
                  <w:r>
                    <w:br/>
                  </w:r>
                  <w:r>
                    <w:rPr>
                      <w:rFonts w:ascii="仿宋_GB2312" w:hAnsi="仿宋_GB2312" w:cs="仿宋_GB2312" w:eastAsia="仿宋_GB2312"/>
                      <w:sz w:val="20"/>
                      <w:color w:val="000000"/>
                    </w:rPr>
                    <w:t>3. 学员签到台账、课时记录、课堂抓拍、作业作品集、模拟赛成果；</w:t>
                  </w:r>
                  <w:r>
                    <w:br/>
                  </w:r>
                  <w:r>
                    <w:rPr>
                      <w:rFonts w:ascii="仿宋_GB2312" w:hAnsi="仿宋_GB2312" w:cs="仿宋_GB2312" w:eastAsia="仿宋_GB2312"/>
                      <w:sz w:val="20"/>
                      <w:color w:val="000000"/>
                    </w:rPr>
                    <w:t>4.全员14项能力测评成绩单、个人能力短板整改报告；</w:t>
                  </w:r>
                  <w:r>
                    <w:br/>
                  </w:r>
                  <w:r>
                    <w:rPr>
                      <w:rFonts w:ascii="仿宋_GB2312" w:hAnsi="仿宋_GB2312" w:cs="仿宋_GB2312" w:eastAsia="仿宋_GB2312"/>
                      <w:sz w:val="20"/>
                      <w:color w:val="000000"/>
                    </w:rPr>
                    <w:t>5.项目培训总结报告、赛项备赛优化建议、赛后复盘方案；</w:t>
                  </w:r>
                  <w:r>
                    <w:br/>
                  </w:r>
                  <w:r>
                    <w:rPr>
                      <w:rFonts w:ascii="仿宋_GB2312" w:hAnsi="仿宋_GB2312" w:cs="仿宋_GB2312" w:eastAsia="仿宋_GB2312"/>
                      <w:sz w:val="20"/>
                      <w:color w:val="000000"/>
                    </w:rPr>
                    <w:t>6.师资团队资质、赛事辅导佐证、培训过程全套留痕资料；</w:t>
                  </w:r>
                </w:p>
                <w:p>
                  <w:pPr>
                    <w:pStyle w:val="null3"/>
                    <w:jc w:val="both"/>
                  </w:pPr>
                  <w:r>
                    <w:rPr>
                      <w:rFonts w:ascii="仿宋_GB2312" w:hAnsi="仿宋_GB2312" w:cs="仿宋_GB2312" w:eastAsia="仿宋_GB2312"/>
                      <w:sz w:val="20"/>
                      <w:color w:val="000000"/>
                    </w:rPr>
                    <w:t>7.提供2套国赛赛配套摄影设备，能拍摄超高清视频、微旋转镜头。</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u w:val="single"/>
                    </w:rPr>
                    <w:t>项</w:t>
                  </w:r>
                </w:p>
              </w:tc>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u w:val="single"/>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1.装饰装修部分</w:t>
            </w:r>
          </w:p>
          <w:tbl>
            <w:tblPr>
              <w:tblInd w:type="dxa" w:w="90"/>
              <w:tblBorders>
                <w:top w:val="none" w:color="000000" w:sz="4"/>
                <w:left w:val="none" w:color="000000" w:sz="4"/>
                <w:bottom w:val="none" w:color="000000" w:sz="4"/>
                <w:right w:val="none" w:color="000000" w:sz="4"/>
                <w:insideH w:val="none"/>
                <w:insideV w:val="none"/>
              </w:tblBorders>
            </w:tblPr>
            <w:tblGrid>
              <w:gridCol w:w="365"/>
              <w:gridCol w:w="448"/>
              <w:gridCol w:w="1496"/>
              <w:gridCol w:w="294"/>
              <w:gridCol w:w="576"/>
            </w:tblGrid>
            <w:tr>
              <w:tc>
                <w:tcPr>
                  <w:tcW w:type="dxa" w:w="365"/>
                  <w:vMerge w:val="restart"/>
                  <w:tcBorders>
                    <w:top w:val="single" w:color="000008"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48"/>
                  <w:vMerge w:val="restart"/>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496"/>
                  <w:vMerge w:val="restart"/>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项目特征描述</w:t>
                  </w:r>
                </w:p>
              </w:tc>
              <w:tc>
                <w:tcPr>
                  <w:tcW w:type="dxa" w:w="294"/>
                  <w:vMerge w:val="restart"/>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576"/>
                  <w:vMerge w:val="restart"/>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365"/>
                  <w:vMerge/>
                  <w:tcBorders>
                    <w:top w:val="single" w:color="000008" w:sz="4"/>
                    <w:left w:val="single" w:color="000008" w:sz="4"/>
                    <w:bottom w:val="single" w:color="000008" w:sz="4"/>
                    <w:right w:val="single" w:color="000008" w:sz="4"/>
                  </w:tcBorders>
                </w:tcPr>
                <w:p/>
              </w:tc>
              <w:tc>
                <w:tcPr>
                  <w:tcW w:type="dxa" w:w="448"/>
                  <w:vMerge/>
                  <w:tcBorders>
                    <w:top w:val="single" w:color="000008" w:sz="4"/>
                    <w:left w:val="none" w:color="000000" w:sz="4"/>
                    <w:bottom w:val="single" w:color="000008" w:sz="4"/>
                    <w:right w:val="single" w:color="000008" w:sz="4"/>
                  </w:tcBorders>
                </w:tcPr>
                <w:p/>
              </w:tc>
              <w:tc>
                <w:tcPr>
                  <w:tcW w:type="dxa" w:w="1496"/>
                  <w:vMerge/>
                  <w:tcBorders>
                    <w:top w:val="single" w:color="000008" w:sz="4"/>
                    <w:left w:val="none" w:color="000000" w:sz="4"/>
                    <w:bottom w:val="single" w:color="000008" w:sz="4"/>
                    <w:right w:val="single" w:color="000008" w:sz="4"/>
                  </w:tcBorders>
                </w:tcPr>
                <w:p/>
              </w:tc>
              <w:tc>
                <w:tcPr>
                  <w:tcW w:type="dxa" w:w="294"/>
                  <w:vMerge/>
                  <w:tcBorders>
                    <w:top w:val="single" w:color="000008" w:sz="4"/>
                    <w:left w:val="none" w:color="000000" w:sz="4"/>
                    <w:bottom w:val="single" w:color="000008" w:sz="4"/>
                    <w:right w:val="single" w:color="000008" w:sz="4"/>
                  </w:tcBorders>
                </w:tcPr>
                <w:p/>
              </w:tc>
              <w:tc>
                <w:tcPr>
                  <w:tcW w:type="dxa" w:w="576"/>
                  <w:vMerge/>
                  <w:tcBorders>
                    <w:top w:val="single" w:color="000008" w:sz="4"/>
                    <w:left w:val="none" w:color="000000" w:sz="4"/>
                    <w:bottom w:val="single" w:color="000008" w:sz="4"/>
                    <w:right w:val="single" w:color="000008" w:sz="4"/>
                  </w:tcBorders>
                </w:tcPr>
                <w:p/>
              </w:tc>
            </w:tr>
            <w:tr>
              <w:tc>
                <w:tcPr>
                  <w:tcW w:type="dxa" w:w="365"/>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48"/>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铲除涂料面</w:t>
                  </w:r>
                </w:p>
              </w:tc>
              <w:tc>
                <w:tcPr>
                  <w:tcW w:type="dxa" w:w="1496"/>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1.铲除部位名称:内墙面、窗台边及天棚</w:t>
                  </w:r>
                  <w:r>
                    <w:br/>
                  </w:r>
                  <w:r>
                    <w:rPr>
                      <w:rFonts w:ascii="仿宋_GB2312" w:hAnsi="仿宋_GB2312" w:cs="仿宋_GB2312" w:eastAsia="仿宋_GB2312"/>
                      <w:sz w:val="20"/>
                      <w:color w:val="000000"/>
                    </w:rPr>
                    <w:t>2.铲除材料名称:涂料</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1.铲除</w:t>
                  </w:r>
                  <w:r>
                    <w:br/>
                  </w:r>
                  <w:r>
                    <w:rPr>
                      <w:rFonts w:ascii="仿宋_GB2312" w:hAnsi="仿宋_GB2312" w:cs="仿宋_GB2312" w:eastAsia="仿宋_GB2312"/>
                      <w:sz w:val="20"/>
                      <w:color w:val="000000"/>
                    </w:rPr>
                    <w:t>2.控制扬尘</w:t>
                  </w:r>
                  <w:r>
                    <w:br/>
                  </w:r>
                  <w:r>
                    <w:rPr>
                      <w:rFonts w:ascii="仿宋_GB2312" w:hAnsi="仿宋_GB2312" w:cs="仿宋_GB2312" w:eastAsia="仿宋_GB2312"/>
                      <w:sz w:val="20"/>
                      <w:color w:val="000000"/>
                    </w:rPr>
                    <w:t>3.清理</w:t>
                  </w:r>
                </w:p>
              </w:tc>
              <w:tc>
                <w:tcPr>
                  <w:tcW w:type="dxa" w:w="294"/>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76"/>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224.57</w:t>
                  </w:r>
                </w:p>
              </w:tc>
            </w:tr>
            <w:tr>
              <w:tc>
                <w:tcPr>
                  <w:tcW w:type="dxa" w:w="365"/>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48"/>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抹灰面油漆</w:t>
                  </w:r>
                </w:p>
              </w:tc>
              <w:tc>
                <w:tcPr>
                  <w:tcW w:type="dxa" w:w="1496"/>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1.部位:墙裙</w:t>
                  </w:r>
                  <w:r>
                    <w:br/>
                  </w:r>
                  <w:r>
                    <w:rPr>
                      <w:rFonts w:ascii="仿宋_GB2312" w:hAnsi="仿宋_GB2312" w:cs="仿宋_GB2312" w:eastAsia="仿宋_GB2312"/>
                      <w:sz w:val="20"/>
                      <w:color w:val="000000"/>
                    </w:rPr>
                    <w:t>2.腻子种类:刮腻子2道</w:t>
                  </w:r>
                  <w:r>
                    <w:br/>
                  </w:r>
                  <w:r>
                    <w:rPr>
                      <w:rFonts w:ascii="仿宋_GB2312" w:hAnsi="仿宋_GB2312" w:cs="仿宋_GB2312" w:eastAsia="仿宋_GB2312"/>
                      <w:sz w:val="20"/>
                      <w:color w:val="000000"/>
                    </w:rPr>
                    <w:t>3.油漆品种、刷漆遍数:刷绿色水性油漆3遍</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1.清理基层</w:t>
                  </w:r>
                  <w:r>
                    <w:br/>
                  </w:r>
                  <w:r>
                    <w:rPr>
                      <w:rFonts w:ascii="仿宋_GB2312" w:hAnsi="仿宋_GB2312" w:cs="仿宋_GB2312" w:eastAsia="仿宋_GB2312"/>
                      <w:sz w:val="20"/>
                      <w:color w:val="000000"/>
                    </w:rPr>
                    <w:t>2.刮腻子</w:t>
                  </w:r>
                  <w:r>
                    <w:br/>
                  </w:r>
                  <w:r>
                    <w:rPr>
                      <w:rFonts w:ascii="仿宋_GB2312" w:hAnsi="仿宋_GB2312" w:cs="仿宋_GB2312" w:eastAsia="仿宋_GB2312"/>
                      <w:sz w:val="20"/>
                      <w:color w:val="000000"/>
                    </w:rPr>
                    <w:t>3.刷防护材料、油漆</w:t>
                  </w:r>
                </w:p>
              </w:tc>
              <w:tc>
                <w:tcPr>
                  <w:tcW w:type="dxa" w:w="294"/>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76"/>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37.76</w:t>
                  </w:r>
                </w:p>
              </w:tc>
            </w:tr>
            <w:tr>
              <w:tc>
                <w:tcPr>
                  <w:tcW w:type="dxa" w:w="365"/>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48"/>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抹灰面油漆</w:t>
                  </w:r>
                </w:p>
              </w:tc>
              <w:tc>
                <w:tcPr>
                  <w:tcW w:type="dxa" w:w="1496"/>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1.基层类型:内墙面</w:t>
                  </w:r>
                  <w:r>
                    <w:br/>
                  </w:r>
                  <w:r>
                    <w:rPr>
                      <w:rFonts w:ascii="仿宋_GB2312" w:hAnsi="仿宋_GB2312" w:cs="仿宋_GB2312" w:eastAsia="仿宋_GB2312"/>
                      <w:sz w:val="20"/>
                      <w:color w:val="000000"/>
                    </w:rPr>
                    <w:t>2.刮腻子遍数:2道</w:t>
                  </w:r>
                  <w:r>
                    <w:br/>
                  </w:r>
                  <w:r>
                    <w:rPr>
                      <w:rFonts w:ascii="仿宋_GB2312" w:hAnsi="仿宋_GB2312" w:cs="仿宋_GB2312" w:eastAsia="仿宋_GB2312"/>
                      <w:sz w:val="20"/>
                      <w:color w:val="000000"/>
                    </w:rPr>
                    <w:t>3.油漆品种、刷漆遍数:白色乳胶漆3遍</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1.清理基层</w:t>
                  </w:r>
                  <w:r>
                    <w:br/>
                  </w:r>
                  <w:r>
                    <w:rPr>
                      <w:rFonts w:ascii="仿宋_GB2312" w:hAnsi="仿宋_GB2312" w:cs="仿宋_GB2312" w:eastAsia="仿宋_GB2312"/>
                      <w:sz w:val="20"/>
                      <w:color w:val="000000"/>
                    </w:rPr>
                    <w:t>2.刮腻子</w:t>
                  </w:r>
                  <w:r>
                    <w:br/>
                  </w:r>
                  <w:r>
                    <w:rPr>
                      <w:rFonts w:ascii="仿宋_GB2312" w:hAnsi="仿宋_GB2312" w:cs="仿宋_GB2312" w:eastAsia="仿宋_GB2312"/>
                      <w:sz w:val="20"/>
                      <w:color w:val="000000"/>
                    </w:rPr>
                    <w:t>3.刷防护材料、油漆</w:t>
                  </w:r>
                </w:p>
              </w:tc>
              <w:tc>
                <w:tcPr>
                  <w:tcW w:type="dxa" w:w="294"/>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76"/>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78.11</w:t>
                  </w:r>
                </w:p>
              </w:tc>
            </w:tr>
            <w:tr>
              <w:tc>
                <w:tcPr>
                  <w:tcW w:type="dxa" w:w="365"/>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48"/>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抹灰面油漆</w:t>
                  </w:r>
                </w:p>
              </w:tc>
              <w:tc>
                <w:tcPr>
                  <w:tcW w:type="dxa" w:w="1496"/>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1.基层类型:天棚</w:t>
                  </w:r>
                  <w:r>
                    <w:br/>
                  </w:r>
                  <w:r>
                    <w:rPr>
                      <w:rFonts w:ascii="仿宋_GB2312" w:hAnsi="仿宋_GB2312" w:cs="仿宋_GB2312" w:eastAsia="仿宋_GB2312"/>
                      <w:sz w:val="20"/>
                      <w:color w:val="000000"/>
                    </w:rPr>
                    <w:t>2.刮腻子遍数:2道</w:t>
                  </w:r>
                  <w:r>
                    <w:br/>
                  </w:r>
                  <w:r>
                    <w:rPr>
                      <w:rFonts w:ascii="仿宋_GB2312" w:hAnsi="仿宋_GB2312" w:cs="仿宋_GB2312" w:eastAsia="仿宋_GB2312"/>
                      <w:sz w:val="20"/>
                      <w:color w:val="000000"/>
                    </w:rPr>
                    <w:t>3.油漆品种、刷漆遍数:白色乳胶漆3遍</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1.清理基层</w:t>
                  </w:r>
                  <w:r>
                    <w:br/>
                  </w:r>
                  <w:r>
                    <w:rPr>
                      <w:rFonts w:ascii="仿宋_GB2312" w:hAnsi="仿宋_GB2312" w:cs="仿宋_GB2312" w:eastAsia="仿宋_GB2312"/>
                      <w:sz w:val="20"/>
                      <w:color w:val="000000"/>
                    </w:rPr>
                    <w:t>2.刮腻子</w:t>
                  </w:r>
                  <w:r>
                    <w:br/>
                  </w:r>
                  <w:r>
                    <w:rPr>
                      <w:rFonts w:ascii="仿宋_GB2312" w:hAnsi="仿宋_GB2312" w:cs="仿宋_GB2312" w:eastAsia="仿宋_GB2312"/>
                      <w:sz w:val="20"/>
                      <w:color w:val="000000"/>
                    </w:rPr>
                    <w:t>3.刷防护材料、油漆</w:t>
                  </w:r>
                </w:p>
              </w:tc>
              <w:tc>
                <w:tcPr>
                  <w:tcW w:type="dxa" w:w="294"/>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76"/>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108.7</w:t>
                  </w:r>
                </w:p>
              </w:tc>
            </w:tr>
            <w:tr>
              <w:tc>
                <w:tcPr>
                  <w:tcW w:type="dxa" w:w="365"/>
                  <w:tcBorders>
                    <w:top w:val="single" w:color="000008"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48"/>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平面抹灰层拆除</w:t>
                  </w:r>
                </w:p>
              </w:tc>
              <w:tc>
                <w:tcPr>
                  <w:tcW w:type="dxa" w:w="1496"/>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1.拆除部位:地面</w:t>
                  </w:r>
                  <w:r>
                    <w:br/>
                  </w:r>
                  <w:r>
                    <w:rPr>
                      <w:rFonts w:ascii="仿宋_GB2312" w:hAnsi="仿宋_GB2312" w:cs="仿宋_GB2312" w:eastAsia="仿宋_GB2312"/>
                      <w:sz w:val="20"/>
                      <w:color w:val="000000"/>
                    </w:rPr>
                    <w:t>2.抹灰层种类:环氧地坪漆及水泥砂浆</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2.控制扬尘</w:t>
                  </w:r>
                  <w:r>
                    <w:br/>
                  </w:r>
                  <w:r>
                    <w:rPr>
                      <w:rFonts w:ascii="仿宋_GB2312" w:hAnsi="仿宋_GB2312" w:cs="仿宋_GB2312" w:eastAsia="仿宋_GB2312"/>
                      <w:sz w:val="20"/>
                      <w:color w:val="000000"/>
                    </w:rPr>
                    <w:t>3.清理</w:t>
                  </w:r>
                </w:p>
              </w:tc>
              <w:tc>
                <w:tcPr>
                  <w:tcW w:type="dxa" w:w="294"/>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76"/>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94.01</w:t>
                  </w:r>
                </w:p>
              </w:tc>
            </w:tr>
            <w:tr>
              <w:tc>
                <w:tcPr>
                  <w:tcW w:type="dxa" w:w="365"/>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48"/>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自流平楼地面</w:t>
                  </w:r>
                </w:p>
              </w:tc>
              <w:tc>
                <w:tcPr>
                  <w:tcW w:type="dxa" w:w="1496"/>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1.找平层厚度、材料种类及强度等级:20厚1:2.5水泥砂浆找平压实抹光、水泥浆一道（内掺建筑胶）</w:t>
                  </w:r>
                  <w:r>
                    <w:br/>
                  </w:r>
                  <w:r>
                    <w:rPr>
                      <w:rFonts w:ascii="仿宋_GB2312" w:hAnsi="仿宋_GB2312" w:cs="仿宋_GB2312" w:eastAsia="仿宋_GB2312"/>
                      <w:sz w:val="20"/>
                      <w:color w:val="000000"/>
                    </w:rPr>
                    <w:t xml:space="preserve">2.中层漆材料种类、厚度:环氧稀胶料一道 </w:t>
                  </w:r>
                  <w:r>
                    <w:br/>
                  </w:r>
                  <w:r>
                    <w:rPr>
                      <w:rFonts w:ascii="仿宋_GB2312" w:hAnsi="仿宋_GB2312" w:cs="仿宋_GB2312" w:eastAsia="仿宋_GB2312"/>
                      <w:sz w:val="20"/>
                      <w:color w:val="000000"/>
                    </w:rPr>
                    <w:t xml:space="preserve">3.面漆材料种类、厚度:2厚自流平环氧胶泥 </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1.基层处理</w:t>
                  </w:r>
                  <w:r>
                    <w:br/>
                  </w:r>
                  <w:r>
                    <w:rPr>
                      <w:rFonts w:ascii="仿宋_GB2312" w:hAnsi="仿宋_GB2312" w:cs="仿宋_GB2312" w:eastAsia="仿宋_GB2312"/>
                      <w:sz w:val="20"/>
                      <w:color w:val="000000"/>
                    </w:rPr>
                    <w:t>2.找平层铺设</w:t>
                  </w:r>
                  <w:r>
                    <w:br/>
                  </w:r>
                  <w:r>
                    <w:rPr>
                      <w:rFonts w:ascii="仿宋_GB2312" w:hAnsi="仿宋_GB2312" w:cs="仿宋_GB2312" w:eastAsia="仿宋_GB2312"/>
                      <w:sz w:val="20"/>
                      <w:color w:val="000000"/>
                    </w:rPr>
                    <w:t>3.涂界面剂</w:t>
                  </w:r>
                  <w:r>
                    <w:br/>
                  </w:r>
                  <w:r>
                    <w:rPr>
                      <w:rFonts w:ascii="仿宋_GB2312" w:hAnsi="仿宋_GB2312" w:cs="仿宋_GB2312" w:eastAsia="仿宋_GB2312"/>
                      <w:sz w:val="20"/>
                      <w:color w:val="000000"/>
                    </w:rPr>
                    <w:t>4.涂刷中层漆</w:t>
                  </w:r>
                  <w:r>
                    <w:br/>
                  </w:r>
                  <w:r>
                    <w:rPr>
                      <w:rFonts w:ascii="仿宋_GB2312" w:hAnsi="仿宋_GB2312" w:cs="仿宋_GB2312" w:eastAsia="仿宋_GB2312"/>
                      <w:sz w:val="20"/>
                      <w:color w:val="000000"/>
                    </w:rPr>
                    <w:t>5.打磨、吸尘</w:t>
                  </w:r>
                  <w:r>
                    <w:br/>
                  </w:r>
                  <w:r>
                    <w:rPr>
                      <w:rFonts w:ascii="仿宋_GB2312" w:hAnsi="仿宋_GB2312" w:cs="仿宋_GB2312" w:eastAsia="仿宋_GB2312"/>
                      <w:sz w:val="20"/>
                      <w:color w:val="000000"/>
                    </w:rPr>
                    <w:t>6.镘自流平面漆（浆）</w:t>
                  </w:r>
                </w:p>
              </w:tc>
              <w:tc>
                <w:tcPr>
                  <w:tcW w:type="dxa" w:w="294"/>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76"/>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94.01</w:t>
                  </w:r>
                </w:p>
              </w:tc>
            </w:tr>
            <w:tr>
              <w:tc>
                <w:tcPr>
                  <w:tcW w:type="dxa" w:w="365"/>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48"/>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木门窗拆除</w:t>
                  </w:r>
                </w:p>
              </w:tc>
              <w:tc>
                <w:tcPr>
                  <w:tcW w:type="dxa" w:w="1496"/>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1.门窗尺寸:木门 1500*2700mm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2.控制扬尘</w:t>
                  </w:r>
                  <w:r>
                    <w:br/>
                  </w:r>
                  <w:r>
                    <w:rPr>
                      <w:rFonts w:ascii="仿宋_GB2312" w:hAnsi="仿宋_GB2312" w:cs="仿宋_GB2312" w:eastAsia="仿宋_GB2312"/>
                      <w:sz w:val="20"/>
                      <w:color w:val="000000"/>
                    </w:rPr>
                    <w:t>3.清理</w:t>
                  </w:r>
                  <w:r>
                    <w:br/>
                  </w:r>
                  <w:r>
                    <w:rPr>
                      <w:rFonts w:ascii="仿宋_GB2312" w:hAnsi="仿宋_GB2312" w:cs="仿宋_GB2312" w:eastAsia="仿宋_GB2312"/>
                      <w:sz w:val="20"/>
                      <w:color w:val="000000"/>
                    </w:rPr>
                    <w:t>4.建渣场内运输</w:t>
                  </w:r>
                </w:p>
              </w:tc>
              <w:tc>
                <w:tcPr>
                  <w:tcW w:type="dxa" w:w="294"/>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樘</w:t>
                  </w:r>
                </w:p>
              </w:tc>
              <w:tc>
                <w:tcPr>
                  <w:tcW w:type="dxa" w:w="576"/>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65"/>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48"/>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全玻自由门</w:t>
                  </w:r>
                </w:p>
              </w:tc>
              <w:tc>
                <w:tcPr>
                  <w:tcW w:type="dxa" w:w="1496"/>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1.门洞口尺寸:1500*2700mm</w:t>
                  </w:r>
                  <w:r>
                    <w:br/>
                  </w:r>
                  <w:r>
                    <w:rPr>
                      <w:rFonts w:ascii="仿宋_GB2312" w:hAnsi="仿宋_GB2312" w:cs="仿宋_GB2312" w:eastAsia="仿宋_GB2312"/>
                      <w:sz w:val="20"/>
                      <w:color w:val="000000"/>
                    </w:rPr>
                    <w:t>2.框材质:不锈钢玻璃双开门</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1.门（含框）安装</w:t>
                  </w:r>
                  <w:r>
                    <w:br/>
                  </w:r>
                  <w:r>
                    <w:rPr>
                      <w:rFonts w:ascii="仿宋_GB2312" w:hAnsi="仿宋_GB2312" w:cs="仿宋_GB2312" w:eastAsia="仿宋_GB2312"/>
                      <w:sz w:val="20"/>
                      <w:color w:val="000000"/>
                    </w:rPr>
                    <w:t>2.五金配件安装</w:t>
                  </w:r>
                  <w:r>
                    <w:br/>
                  </w:r>
                  <w:r>
                    <w:rPr>
                      <w:rFonts w:ascii="仿宋_GB2312" w:hAnsi="仿宋_GB2312" w:cs="仿宋_GB2312" w:eastAsia="仿宋_GB2312"/>
                      <w:sz w:val="20"/>
                      <w:color w:val="000000"/>
                    </w:rPr>
                    <w:t>3.嵌缝打胶</w:t>
                  </w:r>
                </w:p>
              </w:tc>
              <w:tc>
                <w:tcPr>
                  <w:tcW w:type="dxa" w:w="294"/>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76"/>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4.05</w:t>
                  </w:r>
                </w:p>
              </w:tc>
            </w:tr>
            <w:tr>
              <w:tc>
                <w:tcPr>
                  <w:tcW w:type="dxa" w:w="365"/>
                  <w:tcBorders>
                    <w:top w:val="single" w:color="000008"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48"/>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金属门窗套</w:t>
                  </w:r>
                </w:p>
              </w:tc>
              <w:tc>
                <w:tcPr>
                  <w:tcW w:type="dxa" w:w="1496"/>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1.面层材料品种、规格:玫瑰金不锈钢包边</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1.清理基层</w:t>
                  </w:r>
                  <w:r>
                    <w:br/>
                  </w:r>
                  <w:r>
                    <w:rPr>
                      <w:rFonts w:ascii="仿宋_GB2312" w:hAnsi="仿宋_GB2312" w:cs="仿宋_GB2312" w:eastAsia="仿宋_GB2312"/>
                      <w:sz w:val="20"/>
                      <w:color w:val="000000"/>
                    </w:rPr>
                    <w:t>2.立筋制作、安装</w:t>
                  </w:r>
                  <w:r>
                    <w:br/>
                  </w:r>
                  <w:r>
                    <w:rPr>
                      <w:rFonts w:ascii="仿宋_GB2312" w:hAnsi="仿宋_GB2312" w:cs="仿宋_GB2312" w:eastAsia="仿宋_GB2312"/>
                      <w:sz w:val="20"/>
                      <w:color w:val="000000"/>
                    </w:rPr>
                    <w:t>3.基层板安装</w:t>
                  </w:r>
                  <w:r>
                    <w:br/>
                  </w:r>
                  <w:r>
                    <w:rPr>
                      <w:rFonts w:ascii="仿宋_GB2312" w:hAnsi="仿宋_GB2312" w:cs="仿宋_GB2312" w:eastAsia="仿宋_GB2312"/>
                      <w:sz w:val="20"/>
                      <w:color w:val="000000"/>
                    </w:rPr>
                    <w:t>4.面层铺贴</w:t>
                  </w:r>
                  <w:r>
                    <w:br/>
                  </w:r>
                  <w:r>
                    <w:rPr>
                      <w:rFonts w:ascii="仿宋_GB2312" w:hAnsi="仿宋_GB2312" w:cs="仿宋_GB2312" w:eastAsia="仿宋_GB2312"/>
                      <w:sz w:val="20"/>
                      <w:color w:val="000000"/>
                    </w:rPr>
                    <w:t>5.刷防护材料</w:t>
                  </w:r>
                </w:p>
              </w:tc>
              <w:tc>
                <w:tcPr>
                  <w:tcW w:type="dxa" w:w="294"/>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76"/>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4.71</w:t>
                  </w:r>
                </w:p>
              </w:tc>
            </w:tr>
            <w:tr>
              <w:tc>
                <w:tcPr>
                  <w:tcW w:type="dxa" w:w="365"/>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48"/>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余方弃置</w:t>
                  </w:r>
                </w:p>
              </w:tc>
              <w:tc>
                <w:tcPr>
                  <w:tcW w:type="dxa" w:w="1496"/>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1.弃料品种:拆除垃圾</w:t>
                  </w:r>
                  <w:r>
                    <w:br/>
                  </w:r>
                  <w:r>
                    <w:rPr>
                      <w:rFonts w:ascii="仿宋_GB2312" w:hAnsi="仿宋_GB2312" w:cs="仿宋_GB2312" w:eastAsia="仿宋_GB2312"/>
                      <w:sz w:val="20"/>
                      <w:color w:val="000000"/>
                    </w:rPr>
                    <w:t>2.外运5km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1.装卸</w:t>
                  </w:r>
                  <w:r>
                    <w:br/>
                  </w:r>
                  <w:r>
                    <w:rPr>
                      <w:rFonts w:ascii="仿宋_GB2312" w:hAnsi="仿宋_GB2312" w:cs="仿宋_GB2312" w:eastAsia="仿宋_GB2312"/>
                      <w:sz w:val="20"/>
                      <w:color w:val="000000"/>
                    </w:rPr>
                    <w:t>2.外运</w:t>
                  </w:r>
                  <w:r>
                    <w:br/>
                  </w:r>
                  <w:r>
                    <w:rPr>
                      <w:rFonts w:ascii="仿宋_GB2312" w:hAnsi="仿宋_GB2312" w:cs="仿宋_GB2312" w:eastAsia="仿宋_GB2312"/>
                      <w:sz w:val="20"/>
                      <w:color w:val="000000"/>
                    </w:rPr>
                    <w:t>3.消纳</w:t>
                  </w:r>
                </w:p>
              </w:tc>
              <w:tc>
                <w:tcPr>
                  <w:tcW w:type="dxa" w:w="294"/>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76"/>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3.37</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2.电气安装部分</w:t>
            </w:r>
          </w:p>
          <w:tbl>
            <w:tblPr>
              <w:tblInd w:type="dxa" w:w="90"/>
              <w:tblBorders>
                <w:top w:val="none" w:color="000000" w:sz="4"/>
                <w:left w:val="none" w:color="000000" w:sz="4"/>
                <w:bottom w:val="none" w:color="000000" w:sz="4"/>
                <w:right w:val="none" w:color="000000" w:sz="4"/>
                <w:insideH w:val="none"/>
                <w:insideV w:val="none"/>
              </w:tblBorders>
            </w:tblPr>
            <w:tblGrid>
              <w:gridCol w:w="248"/>
              <w:gridCol w:w="501"/>
              <w:gridCol w:w="1709"/>
              <w:gridCol w:w="312"/>
              <w:gridCol w:w="402"/>
            </w:tblGrid>
            <w:tr>
              <w:tc>
                <w:tcPr>
                  <w:tcW w:type="dxa" w:w="248"/>
                  <w:vMerge w:val="restart"/>
                  <w:tcBorders>
                    <w:top w:val="single" w:color="000008"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01"/>
                  <w:vMerge w:val="restart"/>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709"/>
                  <w:vMerge w:val="restart"/>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项目特征描述</w:t>
                  </w:r>
                </w:p>
              </w:tc>
              <w:tc>
                <w:tcPr>
                  <w:tcW w:type="dxa" w:w="312"/>
                  <w:vMerge w:val="restart"/>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402"/>
                  <w:vMerge w:val="restart"/>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248"/>
                  <w:vMerge/>
                  <w:tcBorders>
                    <w:top w:val="single" w:color="000008" w:sz="4"/>
                    <w:left w:val="single" w:color="000008" w:sz="4"/>
                    <w:bottom w:val="single" w:color="000008" w:sz="4"/>
                    <w:right w:val="single" w:color="000008" w:sz="4"/>
                  </w:tcBorders>
                </w:tcPr>
                <w:p/>
              </w:tc>
              <w:tc>
                <w:tcPr>
                  <w:tcW w:type="dxa" w:w="501"/>
                  <w:vMerge/>
                  <w:tcBorders>
                    <w:top w:val="single" w:color="000008" w:sz="4"/>
                    <w:left w:val="none" w:color="000000" w:sz="4"/>
                    <w:bottom w:val="single" w:color="000008" w:sz="4"/>
                    <w:right w:val="single" w:color="000008" w:sz="4"/>
                  </w:tcBorders>
                </w:tcPr>
                <w:p/>
              </w:tc>
              <w:tc>
                <w:tcPr>
                  <w:tcW w:type="dxa" w:w="1709"/>
                  <w:vMerge/>
                  <w:tcBorders>
                    <w:top w:val="single" w:color="000008" w:sz="4"/>
                    <w:left w:val="none" w:color="000000" w:sz="4"/>
                    <w:bottom w:val="single" w:color="000008" w:sz="4"/>
                    <w:right w:val="single" w:color="000008" w:sz="4"/>
                  </w:tcBorders>
                </w:tcPr>
                <w:p/>
              </w:tc>
              <w:tc>
                <w:tcPr>
                  <w:tcW w:type="dxa" w:w="312"/>
                  <w:vMerge/>
                  <w:tcBorders>
                    <w:top w:val="single" w:color="000008" w:sz="4"/>
                    <w:left w:val="none" w:color="000000" w:sz="4"/>
                    <w:bottom w:val="single" w:color="000008" w:sz="4"/>
                    <w:right w:val="single" w:color="000008" w:sz="4"/>
                  </w:tcBorders>
                </w:tcPr>
                <w:p/>
              </w:tc>
              <w:tc>
                <w:tcPr>
                  <w:tcW w:type="dxa" w:w="402"/>
                  <w:vMerge/>
                  <w:tcBorders>
                    <w:top w:val="single" w:color="000008" w:sz="4"/>
                    <w:left w:val="none" w:color="000000" w:sz="4"/>
                    <w:bottom w:val="single" w:color="000008" w:sz="4"/>
                    <w:right w:val="single" w:color="000008" w:sz="4"/>
                  </w:tcBorders>
                </w:tcPr>
                <w:p/>
              </w:tc>
            </w:tr>
            <w:tr>
              <w:tc>
                <w:tcPr>
                  <w:tcW w:type="dxa" w:w="248"/>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p>
              </w:tc>
              <w:tc>
                <w:tcPr>
                  <w:tcW w:type="dxa" w:w="501"/>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强电</w:t>
                  </w:r>
                </w:p>
              </w:tc>
              <w:tc>
                <w:tcPr>
                  <w:tcW w:type="dxa" w:w="1709"/>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p>
              </w:tc>
              <w:tc>
                <w:tcPr>
                  <w:tcW w:type="dxa" w:w="31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tc>
              <w:tc>
                <w:tcPr>
                  <w:tcW w:type="dxa" w:w="40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tc>
            </w:tr>
            <w:tr>
              <w:tc>
                <w:tcPr>
                  <w:tcW w:type="dxa" w:w="248"/>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01"/>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线槽</w:t>
                  </w:r>
                </w:p>
              </w:tc>
              <w:tc>
                <w:tcPr>
                  <w:tcW w:type="dxa" w:w="1709"/>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1.名称:强电金属线槽100*50</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1.安装</w:t>
                  </w:r>
                </w:p>
              </w:tc>
              <w:tc>
                <w:tcPr>
                  <w:tcW w:type="dxa" w:w="31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0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80</w:t>
                  </w:r>
                </w:p>
              </w:tc>
            </w:tr>
            <w:tr>
              <w:tc>
                <w:tcPr>
                  <w:tcW w:type="dxa" w:w="248"/>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01"/>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桥架支撑架</w:t>
                  </w:r>
                </w:p>
              </w:tc>
              <w:tc>
                <w:tcPr>
                  <w:tcW w:type="dxa" w:w="1709"/>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1.名称:强电金属线槽100*50支撑架</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1.制作</w:t>
                  </w:r>
                  <w:r>
                    <w:br/>
                  </w:r>
                  <w:r>
                    <w:rPr>
                      <w:rFonts w:ascii="仿宋_GB2312" w:hAnsi="仿宋_GB2312" w:cs="仿宋_GB2312" w:eastAsia="仿宋_GB2312"/>
                      <w:sz w:val="20"/>
                      <w:color w:val="000000"/>
                    </w:rPr>
                    <w:t>2.安装</w:t>
                  </w:r>
                  <w:r>
                    <w:br/>
                  </w:r>
                  <w:r>
                    <w:rPr>
                      <w:rFonts w:ascii="仿宋_GB2312" w:hAnsi="仿宋_GB2312" w:cs="仿宋_GB2312" w:eastAsia="仿宋_GB2312"/>
                      <w:sz w:val="20"/>
                      <w:color w:val="000000"/>
                    </w:rPr>
                    <w:t>3.接地</w:t>
                  </w:r>
                </w:p>
              </w:tc>
              <w:tc>
                <w:tcPr>
                  <w:tcW w:type="dxa" w:w="31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w:t>
                  </w:r>
                </w:p>
              </w:tc>
              <w:tc>
                <w:tcPr>
                  <w:tcW w:type="dxa" w:w="40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0.059</w:t>
                  </w:r>
                </w:p>
              </w:tc>
            </w:tr>
            <w:tr>
              <w:tc>
                <w:tcPr>
                  <w:tcW w:type="dxa" w:w="248"/>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01"/>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电力电缆</w:t>
                  </w:r>
                </w:p>
              </w:tc>
              <w:tc>
                <w:tcPr>
                  <w:tcW w:type="dxa" w:w="1709"/>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1.名称:YJY-5*4</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1.电缆敷设</w:t>
                  </w:r>
                  <w:r>
                    <w:br/>
                  </w:r>
                  <w:r>
                    <w:rPr>
                      <w:rFonts w:ascii="仿宋_GB2312" w:hAnsi="仿宋_GB2312" w:cs="仿宋_GB2312" w:eastAsia="仿宋_GB2312"/>
                      <w:sz w:val="20"/>
                      <w:color w:val="000000"/>
                    </w:rPr>
                    <w:t>2.电缆防护</w:t>
                  </w:r>
                </w:p>
              </w:tc>
              <w:tc>
                <w:tcPr>
                  <w:tcW w:type="dxa" w:w="31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0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60</w:t>
                  </w:r>
                </w:p>
              </w:tc>
            </w:tr>
            <w:tr>
              <w:tc>
                <w:tcPr>
                  <w:tcW w:type="dxa" w:w="248"/>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01"/>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电力电缆头</w:t>
                  </w:r>
                </w:p>
              </w:tc>
              <w:tc>
                <w:tcPr>
                  <w:tcW w:type="dxa" w:w="1709"/>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1.名称:YJY-5*4电缆头</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1.制作</w:t>
                  </w:r>
                  <w:r>
                    <w:br/>
                  </w:r>
                  <w:r>
                    <w:rPr>
                      <w:rFonts w:ascii="仿宋_GB2312" w:hAnsi="仿宋_GB2312" w:cs="仿宋_GB2312" w:eastAsia="仿宋_GB2312"/>
                      <w:sz w:val="20"/>
                      <w:color w:val="000000"/>
                    </w:rPr>
                    <w:t>2.安装</w:t>
                  </w:r>
                  <w:r>
                    <w:br/>
                  </w:r>
                  <w:r>
                    <w:rPr>
                      <w:rFonts w:ascii="仿宋_GB2312" w:hAnsi="仿宋_GB2312" w:cs="仿宋_GB2312" w:eastAsia="仿宋_GB2312"/>
                      <w:sz w:val="20"/>
                      <w:color w:val="000000"/>
                    </w:rPr>
                    <w:t>3.接地</w:t>
                  </w:r>
                </w:p>
              </w:tc>
              <w:tc>
                <w:tcPr>
                  <w:tcW w:type="dxa" w:w="31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0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r>
            <w:tr>
              <w:tc>
                <w:tcPr>
                  <w:tcW w:type="dxa" w:w="248"/>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01"/>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配线</w:t>
                  </w:r>
                </w:p>
              </w:tc>
              <w:tc>
                <w:tcPr>
                  <w:tcW w:type="dxa" w:w="1709"/>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1.名称:BYJ-4</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1.配线</w:t>
                  </w:r>
                </w:p>
              </w:tc>
              <w:tc>
                <w:tcPr>
                  <w:tcW w:type="dxa" w:w="31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0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80</w:t>
                  </w:r>
                </w:p>
              </w:tc>
            </w:tr>
            <w:tr>
              <w:tc>
                <w:tcPr>
                  <w:tcW w:type="dxa" w:w="248"/>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01"/>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配线</w:t>
                  </w:r>
                </w:p>
              </w:tc>
              <w:tc>
                <w:tcPr>
                  <w:tcW w:type="dxa" w:w="1709"/>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1.名称:BYJ-2.5</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1.配线</w:t>
                  </w:r>
                </w:p>
              </w:tc>
              <w:tc>
                <w:tcPr>
                  <w:tcW w:type="dxa" w:w="31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0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150</w:t>
                  </w:r>
                </w:p>
              </w:tc>
            </w:tr>
            <w:tr>
              <w:tc>
                <w:tcPr>
                  <w:tcW w:type="dxa" w:w="248"/>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p>
              </w:tc>
              <w:tc>
                <w:tcPr>
                  <w:tcW w:type="dxa" w:w="501"/>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弱电</w:t>
                  </w:r>
                </w:p>
              </w:tc>
              <w:tc>
                <w:tcPr>
                  <w:tcW w:type="dxa" w:w="1709"/>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p>
              </w:tc>
              <w:tc>
                <w:tcPr>
                  <w:tcW w:type="dxa" w:w="31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tc>
              <w:tc>
                <w:tcPr>
                  <w:tcW w:type="dxa" w:w="40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tc>
            </w:tr>
            <w:tr>
              <w:tc>
                <w:tcPr>
                  <w:tcW w:type="dxa" w:w="248"/>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01"/>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双绞线缆</w:t>
                  </w:r>
                </w:p>
              </w:tc>
              <w:tc>
                <w:tcPr>
                  <w:tcW w:type="dxa" w:w="1709"/>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1.名称:超六类屏蔽网线CAT 6</w:t>
                  </w:r>
                  <w:r>
                    <w:br/>
                  </w:r>
                  <w:r>
                    <w:rPr>
                      <w:rFonts w:ascii="仿宋_GB2312" w:hAnsi="仿宋_GB2312" w:cs="仿宋_GB2312" w:eastAsia="仿宋_GB2312"/>
                      <w:sz w:val="20"/>
                      <w:color w:val="000000"/>
                    </w:rPr>
                    <w:t>2.敷设方式:线槽内敷设</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1.敷设</w:t>
                  </w:r>
                </w:p>
              </w:tc>
              <w:tc>
                <w:tcPr>
                  <w:tcW w:type="dxa" w:w="31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0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150</w:t>
                  </w:r>
                </w:p>
              </w:tc>
            </w:tr>
            <w:tr>
              <w:tc>
                <w:tcPr>
                  <w:tcW w:type="dxa" w:w="248"/>
                  <w:tcBorders>
                    <w:top w:val="none" w:color="000000"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01"/>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线槽</w:t>
                  </w:r>
                </w:p>
              </w:tc>
              <w:tc>
                <w:tcPr>
                  <w:tcW w:type="dxa" w:w="1709"/>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1.名称:弱电金属线槽100*50</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1.安装</w:t>
                  </w:r>
                </w:p>
              </w:tc>
              <w:tc>
                <w:tcPr>
                  <w:tcW w:type="dxa" w:w="31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02"/>
                  <w:tcBorders>
                    <w:top w:val="none" w:color="000000"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80</w:t>
                  </w:r>
                </w:p>
              </w:tc>
            </w:tr>
            <w:tr>
              <w:tc>
                <w:tcPr>
                  <w:tcW w:type="dxa" w:w="248"/>
                  <w:tcBorders>
                    <w:top w:val="single" w:color="000008" w:sz="4"/>
                    <w:left w:val="single" w:color="000008"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01"/>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桥架支撑架</w:t>
                  </w:r>
                </w:p>
              </w:tc>
              <w:tc>
                <w:tcPr>
                  <w:tcW w:type="dxa" w:w="1709"/>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1.名称:弱电金属线槽100*50支撑架</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1.制作</w:t>
                  </w:r>
                  <w:r>
                    <w:br/>
                  </w:r>
                  <w:r>
                    <w:rPr>
                      <w:rFonts w:ascii="仿宋_GB2312" w:hAnsi="仿宋_GB2312" w:cs="仿宋_GB2312" w:eastAsia="仿宋_GB2312"/>
                      <w:sz w:val="20"/>
                      <w:color w:val="000000"/>
                    </w:rPr>
                    <w:t>2.安装</w:t>
                  </w:r>
                  <w:r>
                    <w:br/>
                  </w:r>
                  <w:r>
                    <w:rPr>
                      <w:rFonts w:ascii="仿宋_GB2312" w:hAnsi="仿宋_GB2312" w:cs="仿宋_GB2312" w:eastAsia="仿宋_GB2312"/>
                      <w:sz w:val="20"/>
                      <w:color w:val="000000"/>
                    </w:rPr>
                    <w:t>3.接地</w:t>
                  </w:r>
                </w:p>
              </w:tc>
              <w:tc>
                <w:tcPr>
                  <w:tcW w:type="dxa" w:w="312"/>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w:t>
                  </w:r>
                </w:p>
              </w:tc>
              <w:tc>
                <w:tcPr>
                  <w:tcW w:type="dxa" w:w="402"/>
                  <w:tcBorders>
                    <w:top w:val="single" w:color="000008" w:sz="4"/>
                    <w:left w:val="none" w:color="000000" w:sz="4"/>
                    <w:bottom w:val="single" w:color="000008" w:sz="4"/>
                    <w:right w:val="single" w:color="000008"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0.059</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韩城市职业中等专业学校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进度款，项目结束，竣工验收合格后，达到付款条件起30个工作日内，支付合同总金额的80.0%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进度款，工程审计结束后，达到付款条件起30个工作日内，支付合同总金额的17.0%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进度款，质保期满，达到付款条件起30个工作日内，支付合同总金额的3.0%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由供应商进行自检，自检合格后准备验收文件并提出验收申请，采购人同意后，采购人相关部门及专家人员形成验收小组，验收小组根据招标文件、投标文件、合同等项目文件约定内答对项目进行综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质保期三年，质保期出现的质量问题由中标人负责解决并承担所有费用。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成交供应商在领取成交通知书时提供一正两副纸质投标文件。装订：纸质投标文件采用书籍（胶装）方式装订成册，与电子响应文件一致的签字、盖章的完整版本。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的财务审计报告（至少包括资产负债表、利润表和现金流量表及财务状况说明），或其开标前三个月内基本存款账户开户银行出具的资信证明及基本存款账户开户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法定代表人直接参加投标，须提交法定代表人身份证明书和身份证。法定代表人授权代表参加投标的，须出具法定代表人授权书及法人和授权代表身份证及社保缴纳凭证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供应商提供2025年度的财务审计报告（至少包括资产负债表、利润表和现金流量表及财务状况说明），或其开标前三个月内基本存款账户开户银行出具的资信证明及基本存款账户开户许可证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技术参数偏离表.docx 开标一览表 投标方案.docx 中小企业声明函 供应商声明.docx 商务应答表.docx 分项报价表.docx 投标人应提交的相关资格证明材料.docx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投标文件内容不存在漏项或数量与要求不符合招标文件规定情形，投标内容满足招标文件的商务、技术等实质性要求</w:t>
            </w:r>
          </w:p>
        </w:tc>
        <w:tc>
          <w:tcPr>
            <w:tcW w:type="dxa" w:w="1661"/>
          </w:tcPr>
          <w:p>
            <w:pPr>
              <w:pStyle w:val="null3"/>
            </w:pPr>
            <w:r>
              <w:rPr>
                <w:rFonts w:ascii="仿宋_GB2312" w:hAnsi="仿宋_GB2312" w:cs="仿宋_GB2312" w:eastAsia="仿宋_GB2312"/>
              </w:rPr>
              <w:t>技术参数偏离表.docx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投标产品的技术指标参数清楚、明确有相应齐全的技术资料；并根据技术指标响应情况评审；全部满足技术标准要求得基础分30分； “▲”号参数为重要参数，需提供证明材料，每有1项负偏离扣1分。证明材料包括但不限于产品彩页、检测报告、官网截图、软件功能截图、技术说明书等技术支持性文件资料。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保证产品质量，除短视频制作工作室资源库及技能大赛提升培训需根据需求定制，其他货物包括图形工作站、耳机、稳定器、智慧大屏、音箱、校园网服务器6个产品应提供合法来源渠道证明文件（包括但不限于销售协议、代理协议、原厂授权等，如供应商为所投产品的制造商需提供情况说明，说明产品为制造商自己生产），提供的材料完整清晰，得8分。每有一项产品未提供合法证明材料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1分，最高得2分。政府强制采购产品不予加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提供投标人2023年1月至今类似项目业绩（以合同签订日期为准），须提供合同复印件加盖公章，每提供一份完整的合同得2分，最高得10分。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①质量保障措施及承诺；②质量管理工作制度；2、评审标准：以上内容综合描述详细合理，措施科学、合理、完善可行，有很强的针对性和可操作性、完全能够根据实际需求保证项目质量的，得2分；每缺一项内容扣1分，若上述内容存在缺陷，每出现一处缺陷扣0.5分，扣完为止。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①供货、运输、安装及调试方案②验收措施；③运行维护方案；④进度保障方案；⑤应急方案；⑥人员配备；2、评审标准：以上内容综合描述详细合理，措施科学、合理、完善可行，有很强的针对性和可操作性、完全能够根据实际需求保证项目质量的，得12分；每缺一项内容扣2分，若上述内容存在缺陷，每出现一处缺陷扣1分，扣完为止。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1、评审内容：①培训内容（包括所提供产品的原理和技术性能、操作维护方法、安装调试、排除故障等）②培训时间及地点安排。2、评审标准：以上内容专门针对本项目且阐述明晰、全面、合理得 2 分，每缺一项内容扣1分，若上述内容存在缺陷，每存在1处缺陷扣0.5分，扣完为止。未提供不得分。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1、评审内容：①售后服务人员配置；②售后服务响应时间及售后服务承诺；③备品备件计划。④定期回访及维护方案。2、评审标准：以上内容专门针对本项目且阐述明晰、全面、合理得 4 分，每缺一项内容扣1分，若上述内容存在缺陷，每存在1处缺陷扣0.5分，扣完为止。未提供不得分。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详见附件：供应商声明.docx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