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5E1A5">
      <w:pPr>
        <w:adjustRightInd w:val="0"/>
        <w:snapToGrid w:val="0"/>
        <w:spacing w:line="336" w:lineRule="auto"/>
        <w:jc w:val="center"/>
        <w:outlineLvl w:val="0"/>
        <w:rPr>
          <w:rFonts w:hint="eastAsia" w:ascii="仿宋" w:hAnsi="仿宋" w:eastAsia="仿宋" w:cs="仿宋"/>
          <w:b/>
          <w:kern w:val="2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kern w:val="2"/>
          <w:sz w:val="44"/>
          <w:szCs w:val="44"/>
          <w:highlight w:val="none"/>
        </w:rPr>
        <w:t>采购内容及技术要求</w:t>
      </w:r>
      <w:bookmarkStart w:id="0" w:name="_Toc317530110"/>
    </w:p>
    <w:bookmarkEnd w:id="0"/>
    <w:p w14:paraId="1685DF73">
      <w:pPr>
        <w:adjustRightInd w:val="0"/>
        <w:spacing w:line="360" w:lineRule="auto"/>
        <w:ind w:firstLine="482" w:firstLineChars="200"/>
        <w:rPr>
          <w:rFonts w:ascii="仿宋" w:hAnsi="仿宋" w:eastAsia="仿宋" w:cs="仿宋"/>
          <w:kern w:val="2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kern w:val="2"/>
          <w:szCs w:val="24"/>
          <w:highlight w:val="none"/>
        </w:rPr>
        <w:t>一、项目概况</w:t>
      </w:r>
    </w:p>
    <w:p w14:paraId="30405C9E">
      <w:pPr>
        <w:adjustRightInd w:val="0"/>
        <w:spacing w:line="360" w:lineRule="auto"/>
        <w:ind w:firstLine="480" w:firstLineChars="200"/>
        <w:rPr>
          <w:rFonts w:hint="eastAsia" w:ascii="仿宋" w:hAnsi="仿宋" w:eastAsia="仿宋" w:cs="仿宋"/>
          <w:kern w:val="2"/>
          <w:szCs w:val="24"/>
          <w:highlight w:val="none"/>
        </w:rPr>
      </w:pPr>
      <w:r>
        <w:rPr>
          <w:rFonts w:hint="eastAsia" w:ascii="仿宋" w:hAnsi="仿宋" w:eastAsia="仿宋" w:cs="仿宋"/>
          <w:kern w:val="2"/>
          <w:szCs w:val="24"/>
          <w:highlight w:val="none"/>
        </w:rPr>
        <w:t>为实现新区颗粒物同比改善5%、综合指数在关中排名前移的要求，全力降低颗粒物浓度，现需开展5个新城精细化管理、道路积尘负荷走航、烟尘屋面拦截技术等空气质量提升保障措施。</w:t>
      </w:r>
    </w:p>
    <w:p w14:paraId="0F512456">
      <w:pPr>
        <w:pStyle w:val="7"/>
        <w:spacing w:after="0" w:line="360" w:lineRule="auto"/>
        <w:ind w:firstLine="482" w:firstLineChars="200"/>
        <w:rPr>
          <w:rFonts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二、采购内容</w:t>
      </w:r>
    </w:p>
    <w:p w14:paraId="774D46CC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1、道路扬尘综合治理工程</w:t>
      </w:r>
    </w:p>
    <w:p w14:paraId="06BA3656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配备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洒水车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不少于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2台，配备低压洒水、高压冲洗及雾状喷洒等多种作业模式，提供全时段机械化洒水降尘服务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并配备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不少于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2名洒水车司机，重点保障主次干道、城乡结合部、工地出入口、裸露地面及道路扬尘报警频次较高的路段，确保路面持续湿润、不起尘。</w:t>
      </w:r>
    </w:p>
    <w:p w14:paraId="349E1B3F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2、道路积尘负荷走航监测</w:t>
      </w:r>
    </w:p>
    <w:p w14:paraId="0EA02CBE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采用符合国家相关标准（如《防治城市扬尘污染技术规范》（HJ/T 393-2007）及《道路积尘负荷走航监测技术规范》等）的专业走航车辆，搭载高精度激光传感器，对新区主次干道、城乡结合部、工地周边及5个省控站点邻近道路开展每月1次的道路积尘负荷走航检测。监测结果能够全面、客观地反映不同道路类型的扬尘排放潜势，为“以克论净”量化考核提供统一标尺，同时为后续洒水、清扫等治理措施的精准布设提供直接数据支撑。</w:t>
      </w:r>
    </w:p>
    <w:p w14:paraId="24C6B572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3、烟尘屋面拦截技术</w:t>
      </w:r>
    </w:p>
    <w:p w14:paraId="4333265A">
      <w:pPr>
        <w:pStyle w:val="7"/>
        <w:spacing w:after="0"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根据新区要点要求，实施2家工业企业屋顶烟尘拦截。主要使用G2级粗效过滤棉对工业企业的废气进行深度治理，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·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以达到改善厂房顶端工业烟气散逸问题。</w:t>
      </w:r>
    </w:p>
    <w:p w14:paraId="4DCACC3C">
      <w:pPr>
        <w:pStyle w:val="7"/>
        <w:spacing w:after="0" w:line="360" w:lineRule="auto"/>
        <w:ind w:firstLine="480" w:firstLineChars="20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z w:val="24"/>
          <w:szCs w:val="24"/>
          <w:highlight w:val="none"/>
        </w:rPr>
        <w:t>4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、科技治霾支撑服务</w:t>
      </w:r>
    </w:p>
    <w:p w14:paraId="44CA0C63">
      <w:pPr>
        <w:kinsoku w:val="0"/>
        <w:autoSpaceDE w:val="0"/>
        <w:autoSpaceDN w:val="0"/>
        <w:spacing w:line="440" w:lineRule="exact"/>
        <w:ind w:firstLine="480" w:firstLineChars="200"/>
        <w:rPr>
          <w:rFonts w:hint="eastAsia" w:ascii="仿宋" w:hAnsi="仿宋" w:eastAsia="仿宋" w:cs="仿宋"/>
          <w:szCs w:val="24"/>
          <w:highlight w:val="none"/>
        </w:rPr>
      </w:pPr>
      <w:r>
        <w:rPr>
          <w:rFonts w:hint="eastAsia" w:ascii="仿宋" w:hAnsi="仿宋" w:eastAsia="仿宋" w:cs="仿宋"/>
          <w:szCs w:val="24"/>
          <w:highlight w:val="none"/>
        </w:rPr>
        <w:t>主要包含：预测预报服务、空气质量研判分析服务、</w:t>
      </w:r>
      <w:bookmarkStart w:id="1" w:name="OLE_LINK2"/>
      <w:bookmarkStart w:id="2" w:name="OLE_LINK1"/>
      <w:r>
        <w:rPr>
          <w:rFonts w:hint="eastAsia" w:ascii="仿宋" w:hAnsi="仿宋" w:eastAsia="仿宋" w:cs="仿宋"/>
          <w:szCs w:val="24"/>
          <w:highlight w:val="none"/>
        </w:rPr>
        <w:t>重污染应急减排、</w:t>
      </w:r>
      <w:bookmarkEnd w:id="1"/>
      <w:bookmarkEnd w:id="2"/>
      <w:r>
        <w:rPr>
          <w:rFonts w:hint="eastAsia" w:ascii="仿宋" w:hAnsi="仿宋" w:eastAsia="仿宋" w:cs="仿宋"/>
          <w:szCs w:val="24"/>
          <w:highlight w:val="none"/>
        </w:rPr>
        <w:t>重点区域油烟快速监测、六参数灵嗅走航等技术服务支撑。</w:t>
      </w:r>
    </w:p>
    <w:p w14:paraId="06F881A3">
      <w:pPr>
        <w:pStyle w:val="7"/>
        <w:spacing w:after="0" w:line="360" w:lineRule="auto"/>
        <w:ind w:firstLine="480" w:firstLineChars="200"/>
        <w:rPr>
          <w:rFonts w:ascii="仿宋" w:hAnsi="仿宋" w:eastAsia="仿宋" w:cs="仿宋"/>
          <w:b/>
          <w:szCs w:val="24"/>
          <w:highlight w:val="none"/>
        </w:rPr>
      </w:pPr>
      <w:r>
        <w:rPr>
          <w:rFonts w:ascii="仿宋" w:hAnsi="仿宋" w:eastAsia="仿宋" w:cs="仿宋"/>
          <w:sz w:val="24"/>
          <w:szCs w:val="24"/>
          <w:highlight w:val="none"/>
        </w:rPr>
        <w:t>5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、臭氧专项攻坚服务</w:t>
      </w:r>
    </w:p>
    <w:p w14:paraId="594D9F8A">
      <w:pPr>
        <w:kinsoku w:val="0"/>
        <w:autoSpaceDE w:val="0"/>
        <w:autoSpaceDN w:val="0"/>
        <w:spacing w:line="440" w:lineRule="exact"/>
        <w:ind w:firstLine="480" w:firstLineChars="200"/>
        <w:rPr>
          <w:rFonts w:ascii="仿宋" w:hAnsi="仿宋" w:eastAsia="仿宋" w:cs="仿宋"/>
          <w:szCs w:val="24"/>
          <w:highlight w:val="none"/>
        </w:rPr>
      </w:pPr>
      <w:r>
        <w:rPr>
          <w:rFonts w:hint="eastAsia" w:ascii="仿宋" w:hAnsi="仿宋" w:eastAsia="仿宋" w:cs="仿宋"/>
          <w:szCs w:val="24"/>
          <w:highlight w:val="none"/>
        </w:rPr>
        <w:t>夏防期针对臭氧污染进行专项攻坚服务，进行污染源减排措施制定、污染应急调度管控等有效手段实现臭氧遏制。</w:t>
      </w:r>
    </w:p>
    <w:p w14:paraId="6EF69704">
      <w:pPr>
        <w:pStyle w:val="7"/>
        <w:spacing w:after="0"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三、项目预算</w:t>
      </w:r>
    </w:p>
    <w:p w14:paraId="3BA1782D">
      <w:pPr>
        <w:spacing w:line="360" w:lineRule="auto"/>
        <w:ind w:firstLine="480" w:firstLineChars="200"/>
        <w:rPr>
          <w:rFonts w:ascii="仿宋" w:hAnsi="仿宋" w:eastAsia="仿宋" w:cs="仿宋"/>
          <w:szCs w:val="24"/>
          <w:highlight w:val="none"/>
        </w:rPr>
      </w:pPr>
      <w:r>
        <w:rPr>
          <w:rFonts w:hint="eastAsia" w:ascii="仿宋" w:hAnsi="仿宋" w:eastAsia="仿宋" w:cs="仿宋"/>
          <w:szCs w:val="24"/>
          <w:highlight w:val="none"/>
        </w:rPr>
        <w:t>本项目预算为200万元。</w:t>
      </w:r>
    </w:p>
    <w:p w14:paraId="0AC2B51B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Cs w:val="24"/>
          <w:highlight w:val="none"/>
        </w:rPr>
        <w:t>四、技术要求</w:t>
      </w:r>
    </w:p>
    <w:p w14:paraId="4EF2C4AC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1、所有现场作业、监测检测、设备改造工作必须严格遵循国家、行业现行规范标准开展，并精准覆盖既定重点管控区域，无遗漏、无缺位，确保靶向治理、精准治污，切实解决区域重点扬尘污染问题。</w:t>
      </w:r>
    </w:p>
    <w:p w14:paraId="0EA6B5C7">
      <w:pPr>
        <w:spacing w:line="360" w:lineRule="auto"/>
        <w:ind w:firstLine="480" w:firstLineChars="200"/>
        <w:rPr>
          <w:rFonts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、建立全时段、常态化长效服务机制。洒水车实行全时段机械化循环洒水降尘作业，道路积尘负荷走航监测需固定监测周期、固定覆盖范围；屋面烟尘拦截设施实行常态化巡检维护，定期检查过滤棉完好度、固定牢固度，及时更换破损、失效滤材，保障治理设备长期稳定运行。出现突发相关大气污染事件时，团队应在1小时内到达现场开展应急响应工作。</w:t>
      </w:r>
    </w:p>
    <w:p w14:paraId="784A46D5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3、保障监测设备高精度稳定运行，杜绝数据失真、缺失。完整留存监测原始数据、报表、轨迹资料，建立标准化数据台账，实现数据可查询、可溯源、可复核，提供精准数据支撑，充分发挥数据赋能精准治污的作用。</w:t>
      </w:r>
    </w:p>
    <w:p w14:paraId="0C1CD09B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、严格落实项目全过程质量管控与安全作业要求。确保作业设备能够规范操作，落实作业人员与设备的安全防护措施，杜绝安全隐患，同时定期开展设备检修、校准与保养，确保作业设备安全、稳定、高效运行。</w:t>
      </w:r>
    </w:p>
    <w:p w14:paraId="11AEBCF7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5、PM10浓度均值较三年滑动均值改善不低于5%，年度空气质量综合指数关中排名前进2位及以上。</w:t>
      </w:r>
    </w:p>
    <w:p w14:paraId="739FDB1F">
      <w:pPr>
        <w:spacing w:line="360" w:lineRule="auto"/>
        <w:ind w:firstLine="480" w:firstLineChars="200"/>
        <w:rPr>
          <w:rFonts w:hint="default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6、洒水车罐体有效容积</w:t>
      </w:r>
      <w:r>
        <w:rPr>
          <w:rFonts w:hint="eastAsia" w:ascii="宋体" w:hAnsi="宋体" w:eastAsia="宋体" w:cs="宋体"/>
          <w:highlight w:val="none"/>
          <w:lang w:val="en-US" w:eastAsia="zh-CN"/>
        </w:rPr>
        <w:t>≧</w:t>
      </w:r>
      <w:r>
        <w:rPr>
          <w:rFonts w:hint="eastAsia" w:ascii="仿宋" w:hAnsi="仿宋" w:eastAsia="仿宋" w:cs="仿宋"/>
          <w:highlight w:val="none"/>
          <w:lang w:val="en-US" w:eastAsia="zh-CN"/>
        </w:rPr>
        <w:t>9立方米，前冲宽度</w:t>
      </w:r>
      <w:r>
        <w:rPr>
          <w:rFonts w:hint="eastAsia" w:ascii="宋体" w:hAnsi="宋体" w:eastAsia="宋体" w:cs="宋体"/>
          <w:highlight w:val="none"/>
          <w:lang w:val="en-US" w:eastAsia="zh-CN"/>
        </w:rPr>
        <w:t>≧</w:t>
      </w:r>
      <w:r>
        <w:rPr>
          <w:rFonts w:hint="eastAsia" w:ascii="仿宋" w:hAnsi="仿宋" w:eastAsia="仿宋" w:cs="仿宋"/>
          <w:highlight w:val="none"/>
          <w:lang w:val="en-US" w:eastAsia="zh-CN"/>
        </w:rPr>
        <w:t>18米，后洒宽度</w:t>
      </w:r>
      <w:r>
        <w:rPr>
          <w:rFonts w:hint="eastAsia" w:ascii="宋体" w:hAnsi="宋体" w:eastAsia="宋体" w:cs="宋体"/>
          <w:highlight w:val="none"/>
          <w:lang w:val="en-US" w:eastAsia="zh-CN"/>
        </w:rPr>
        <w:t>≧</w:t>
      </w:r>
      <w:r>
        <w:rPr>
          <w:rFonts w:hint="eastAsia" w:ascii="仿宋" w:hAnsi="仿宋" w:eastAsia="仿宋" w:cs="仿宋"/>
          <w:highlight w:val="none"/>
          <w:lang w:val="en-US" w:eastAsia="zh-CN"/>
        </w:rPr>
        <w:t>15米，侧喷宽度</w:t>
      </w:r>
      <w:r>
        <w:rPr>
          <w:rFonts w:hint="eastAsia" w:ascii="宋体" w:hAnsi="宋体" w:eastAsia="宋体" w:cs="宋体"/>
          <w:highlight w:val="none"/>
          <w:lang w:val="en-US" w:eastAsia="zh-CN"/>
        </w:rPr>
        <w:t>≧</w:t>
      </w:r>
      <w:r>
        <w:rPr>
          <w:rFonts w:hint="eastAsia" w:ascii="仿宋" w:hAnsi="仿宋" w:eastAsia="仿宋" w:cs="仿宋"/>
          <w:highlight w:val="none"/>
          <w:lang w:val="en-US" w:eastAsia="zh-CN"/>
        </w:rPr>
        <w:t>15米；司机须持A1、A2或B2驾驶证，年龄60周岁以下。供应商所提供洒水车及驾驶员应手续资质齐全有效，车辆合规可正常上路作业，不被执法部门查处，相关违法责任由供应商承担。</w:t>
      </w:r>
    </w:p>
    <w:p w14:paraId="3729E3A2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Cs w:val="24"/>
          <w:highlight w:val="none"/>
        </w:rPr>
        <w:t>五、服务期限</w:t>
      </w:r>
    </w:p>
    <w:p w14:paraId="7937A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Cs w:val="24"/>
          <w:highlight w:val="none"/>
        </w:rPr>
        <w:t>一年。</w:t>
      </w:r>
      <w:bookmarkStart w:id="3" w:name="_GoBack"/>
      <w:bookmarkEnd w:id="3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2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9FB25D9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0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5">
    <w:name w:val="Body Text First Indent"/>
    <w:basedOn w:val="7"/>
    <w:next w:val="16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6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正文文本 31"/>
    <w:basedOn w:val="1"/>
    <w:qFormat/>
    <w:uiPriority w:val="0"/>
    <w:rPr>
      <w:sz w:val="16"/>
      <w:szCs w:val="16"/>
    </w:rPr>
  </w:style>
  <w:style w:type="character" w:customStyle="1" w:styleId="21">
    <w:name w:val="NormalCharacter"/>
    <w:qFormat/>
    <w:uiPriority w:val="0"/>
  </w:style>
  <w:style w:type="paragraph" w:customStyle="1" w:styleId="2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4">
    <w:name w:val="列出段落1"/>
    <w:basedOn w:val="1"/>
    <w:qFormat/>
    <w:uiPriority w:val="0"/>
    <w:pPr>
      <w:ind w:firstLine="420" w:firstLineChars="200"/>
    </w:pPr>
  </w:style>
  <w:style w:type="paragraph" w:styleId="25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6">
    <w:name w:val="15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27">
    <w:name w:val="BodyText1I"/>
    <w:basedOn w:val="28"/>
    <w:qFormat/>
    <w:uiPriority w:val="0"/>
    <w:pPr>
      <w:ind w:firstLine="420" w:firstLineChars="100"/>
    </w:pPr>
    <w:rPr>
      <w:rFonts w:ascii="宋体"/>
    </w:rPr>
  </w:style>
  <w:style w:type="paragraph" w:customStyle="1" w:styleId="28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402</Words>
  <Characters>468</Characters>
  <Lines>0</Lines>
  <Paragraphs>0</Paragraphs>
  <TotalTime>0</TotalTime>
  <ScaleCrop>false</ScaleCrop>
  <LinksUpToDate>false</LinksUpToDate>
  <CharactersWithSpaces>471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2026-09-18T06:18:29Z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