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版本号：0617-2612HZ080720260519001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经开院区二期病床项目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0617-2612HZ0807</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经开院区二期病床项目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0617-2612HZ0807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经开院区二期病床项目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双摇手动病床，1批，规格：2000mm×1000mm×500mm±50mm（含护栏）。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1、投标人若为投标产品生产企业，提供医疗器械生产备案凭证：投标人若为投标产品生产企业，提供医疗器械生产备案凭证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吴乐平、唐丽娜、衣冯源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下浮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双摇手动病床，1批，规格：2000mm×1000mm×500mm±50mm（含护栏）。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经开院区二期病床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标的名称：经开院区二期病床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center"/>
                  </w:pPr>
                  <w:r>
                    <w:rPr>
                      <w:rFonts w:ascii="仿宋_GB2312" w:hAnsi="仿宋_GB2312" w:cs="仿宋_GB2312" w:eastAsia="仿宋_GB2312"/>
                    </w:rPr>
                    <w:t>序号</w:t>
                  </w:r>
                </w:p>
              </w:tc>
              <w:tc>
                <w:tcPr>
                  <w:tcW w:type="dxa" w:w="426"/>
                </w:tcPr>
                <w:p>
                  <w:pPr>
                    <w:pStyle w:val="null3"/>
                    <w:jc w:val="center"/>
                  </w:pPr>
                  <w:r>
                    <w:rPr>
                      <w:rFonts w:ascii="仿宋_GB2312" w:hAnsi="仿宋_GB2312" w:cs="仿宋_GB2312" w:eastAsia="仿宋_GB2312"/>
                    </w:rPr>
                    <w:t>货物名称</w:t>
                  </w:r>
                </w:p>
              </w:tc>
              <w:tc>
                <w:tcPr>
                  <w:tcW w:type="dxa" w:w="426"/>
                </w:tcPr>
                <w:p>
                  <w:pPr>
                    <w:pStyle w:val="null3"/>
                    <w:jc w:val="center"/>
                  </w:pPr>
                  <w:r>
                    <w:rPr>
                      <w:rFonts w:ascii="仿宋_GB2312" w:hAnsi="仿宋_GB2312" w:cs="仿宋_GB2312" w:eastAsia="仿宋_GB2312"/>
                    </w:rPr>
                    <w:t>规格</w:t>
                  </w:r>
                </w:p>
              </w:tc>
              <w:tc>
                <w:tcPr>
                  <w:tcW w:type="dxa" w:w="426"/>
                </w:tcPr>
                <w:p>
                  <w:pPr>
                    <w:pStyle w:val="null3"/>
                    <w:jc w:val="center"/>
                  </w:pPr>
                  <w:r>
                    <w:rPr>
                      <w:rFonts w:ascii="仿宋_GB2312" w:hAnsi="仿宋_GB2312" w:cs="仿宋_GB2312" w:eastAsia="仿宋_GB2312"/>
                    </w:rPr>
                    <w:t>单位</w:t>
                  </w:r>
                </w:p>
              </w:tc>
              <w:tc>
                <w:tcPr>
                  <w:tcW w:type="dxa" w:w="426"/>
                </w:tcPr>
                <w:p>
                  <w:pPr>
                    <w:pStyle w:val="null3"/>
                    <w:jc w:val="center"/>
                  </w:pPr>
                  <w:r>
                    <w:rPr>
                      <w:rFonts w:ascii="仿宋_GB2312" w:hAnsi="仿宋_GB2312" w:cs="仿宋_GB2312" w:eastAsia="仿宋_GB2312"/>
                    </w:rPr>
                    <w:t>每张限价</w:t>
                  </w:r>
                </w:p>
              </w:tc>
              <w:tc>
                <w:tcPr>
                  <w:tcW w:type="dxa" w:w="426"/>
                </w:tcPr>
                <w:p>
                  <w:pPr>
                    <w:pStyle w:val="null3"/>
                    <w:jc w:val="center"/>
                  </w:pPr>
                  <w:r>
                    <w:rPr>
                      <w:rFonts w:ascii="仿宋_GB2312" w:hAnsi="仿宋_GB2312" w:cs="仿宋_GB2312" w:eastAsia="仿宋_GB2312"/>
                    </w:rPr>
                    <w:t>最高限价</w:t>
                  </w:r>
                </w:p>
              </w:tc>
            </w:tr>
            <w:tr>
              <w:tc>
                <w:tcPr>
                  <w:tcW w:type="dxa" w:w="426"/>
                </w:tcPr>
                <w:p>
                  <w:pPr>
                    <w:pStyle w:val="null3"/>
                    <w:jc w:val="center"/>
                  </w:pPr>
                  <w:r>
                    <w:rPr>
                      <w:rFonts w:ascii="仿宋_GB2312" w:hAnsi="仿宋_GB2312" w:cs="仿宋_GB2312" w:eastAsia="仿宋_GB2312"/>
                    </w:rPr>
                    <w:t>1</w:t>
                  </w:r>
                </w:p>
              </w:tc>
              <w:tc>
                <w:tcPr>
                  <w:tcW w:type="dxa" w:w="426"/>
                </w:tcPr>
                <w:p>
                  <w:pPr>
                    <w:pStyle w:val="null3"/>
                    <w:jc w:val="center"/>
                  </w:pPr>
                  <w:r>
                    <w:rPr>
                      <w:rFonts w:ascii="仿宋_GB2312" w:hAnsi="仿宋_GB2312" w:cs="仿宋_GB2312" w:eastAsia="仿宋_GB2312"/>
                    </w:rPr>
                    <w:t>双摇手动病床</w:t>
                  </w:r>
                </w:p>
              </w:tc>
              <w:tc>
                <w:tcPr>
                  <w:tcW w:type="dxa" w:w="426"/>
                </w:tcPr>
                <w:p>
                  <w:pPr>
                    <w:pStyle w:val="null3"/>
                    <w:jc w:val="center"/>
                  </w:pPr>
                  <w:r>
                    <w:rPr>
                      <w:rFonts w:ascii="仿宋_GB2312" w:hAnsi="仿宋_GB2312" w:cs="仿宋_GB2312" w:eastAsia="仿宋_GB2312"/>
                    </w:rPr>
                    <w:t>2000mm×1000mm×500mm±50mm（含护栏）</w:t>
                  </w:r>
                </w:p>
              </w:tc>
              <w:tc>
                <w:tcPr>
                  <w:tcW w:type="dxa" w:w="426"/>
                </w:tcPr>
                <w:p>
                  <w:pPr>
                    <w:pStyle w:val="null3"/>
                    <w:jc w:val="center"/>
                  </w:pPr>
                  <w:r>
                    <w:rPr>
                      <w:rFonts w:ascii="仿宋_GB2312" w:hAnsi="仿宋_GB2312" w:cs="仿宋_GB2312" w:eastAsia="仿宋_GB2312"/>
                    </w:rPr>
                    <w:t>张</w:t>
                  </w:r>
                </w:p>
              </w:tc>
              <w:tc>
                <w:tcPr>
                  <w:tcW w:type="dxa" w:w="426"/>
                </w:tcPr>
                <w:p>
                  <w:pPr>
                    <w:pStyle w:val="null3"/>
                    <w:jc w:val="center"/>
                  </w:pPr>
                  <w:r>
                    <w:rPr>
                      <w:rFonts w:ascii="仿宋_GB2312" w:hAnsi="仿宋_GB2312" w:cs="仿宋_GB2312" w:eastAsia="仿宋_GB2312"/>
                    </w:rPr>
                    <w:t>3750元</w:t>
                  </w:r>
                </w:p>
              </w:tc>
              <w:tc>
                <w:tcPr>
                  <w:tcW w:type="dxa" w:w="426"/>
                </w:tcPr>
                <w:p>
                  <w:pPr>
                    <w:pStyle w:val="null3"/>
                    <w:jc w:val="center"/>
                  </w:pPr>
                  <w:r>
                    <w:rPr>
                      <w:rFonts w:ascii="仿宋_GB2312" w:hAnsi="仿宋_GB2312" w:cs="仿宋_GB2312" w:eastAsia="仿宋_GB2312"/>
                    </w:rPr>
                    <w:t>200万元</w:t>
                  </w:r>
                </w:p>
              </w:tc>
            </w:tr>
            <w:tr>
              <w:tc>
                <w:tcPr>
                  <w:tcW w:type="dxa" w:w="426"/>
                </w:tcPr>
                <w:p>
                  <w:pPr>
                    <w:pStyle w:val="null3"/>
                    <w:jc w:val="center"/>
                  </w:pPr>
                  <w:r>
                    <w:rPr>
                      <w:rFonts w:ascii="仿宋_GB2312" w:hAnsi="仿宋_GB2312" w:cs="仿宋_GB2312" w:eastAsia="仿宋_GB2312"/>
                    </w:rPr>
                    <w:t>备注</w:t>
                  </w:r>
                </w:p>
              </w:tc>
              <w:tc>
                <w:tcPr>
                  <w:tcW w:type="dxa" w:w="2130"/>
                  <w:gridSpan w:val="5"/>
                </w:tcPr>
                <w:p>
                  <w:pPr>
                    <w:pStyle w:val="null3"/>
                  </w:pPr>
                  <w:r>
                    <w:rPr>
                      <w:rFonts w:ascii="仿宋_GB2312" w:hAnsi="仿宋_GB2312" w:cs="仿宋_GB2312" w:eastAsia="仿宋_GB2312"/>
                    </w:rPr>
                    <w:t>含：1、不锈钢输液架2个。2、餐板1个。3、碳钢杂物架1个。4、床头牌1个。</w:t>
                  </w:r>
                </w:p>
              </w:tc>
            </w:tr>
          </w:tbl>
          <w:p>
            <w:pPr>
              <w:pStyle w:val="null3"/>
            </w:pPr>
            <w:r>
              <w:rPr>
                <w:rFonts w:ascii="仿宋_GB2312" w:hAnsi="仿宋_GB2312" w:cs="仿宋_GB2312" w:eastAsia="仿宋_GB2312"/>
                <w:sz w:val="21"/>
                <w:b/>
                <w:color w:val="D35400"/>
              </w:rPr>
              <w:t>本项目报价方式：双摇手动病床的单价（元/张），报价超过每张限价（3750 元/张）投标将被拒绝。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二、基本参数</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1、规格：2000mm×1000mm×500mm±50mm（含护栏）</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2、床体最大载重量≥250kg</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3、调节范围：背部可调为≥75°，腿部可调为≥45°。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三、床头、床尾板</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1、采用ABS原材料注塑成型。床头尾板上端边缘厚≥45mm，重量≥6公斤；床头尾板上有由模具注塑成型的制造厂商的拼音或者英文简称缩写标识。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2、床头床尾板与床体连接部位可以快速拆卸；带锁定保险，锁定与解锁有清楚明确标识。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3、四角配4个嵌入式塑胶防撞轮，使用固定轴承安装在床头床尾板里面，φ≥85m。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4、床头尾板与床面板间加装有塑料档隙件。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四、床头尾板的装饰</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床头尾板可定制颜色，并配亚克力透明信息卡。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五、床体</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1、床框规格≥30x60x1.5mm，底座规格≥25×50×1.5mm；采用矩型碳素钢管焊接。</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2、床面板采用≥1.2mm冷轧钢板，整体一次冲孔模压压成型；床板均带有水汽导槽或透气孔，模压凹槽，床板上透气孔≥24个；所有床板之间的运动连接件，均采用厚度≥3mm 的五金构件，三面焊接于床板；</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3、金属表面采用双重涂层。</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4、焊接工艺：病床的各种金属部件全部由焊接机器人自动焊接。</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六、床脚</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床腿采用≥50x50x1.3mm方管制作。</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七、脚轮</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1、脚轮采用φ≥125 mm双饼轮，内置全密封自润滑轴承，轮面聚氨脂材料；</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2、中控制动，床尾中央U型不锈钢踏管（直径≥25mm，厚度≥1.5mm），一脚刹车制动；</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3、脚轮支架：铝合金材料，一次压铸成型脚轮，骨架重量≥360g。</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八、背段及腿段</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背部床板采用由上支撑轴和下支撑轴以及曲柄连杆组成的“V”型双支撑卸力结构；双支撑件一体冲压成型并具有加强筋功能；曲柄连杆采用厚度≥2mm的钢板模压成型，尺寸（长宽高）分别≥175mmx40mmx15mm；上下支撑轴分别采用直径≥25mm、厚度≥2.0mm和直径≥32mm、厚度≥2.5mm的无缝钢管钢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2、背部增焊“日”字型加强型钢管框架，钢管壁厚≥1.0mm。</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九、升降丝杆</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1、丝杆采用45#中碳钢滚压成型。</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2、母丝材料采用精铜螺母；螺母上具有金属滑槽，滑槽里装有铝合金或铜质导轨，与螺管卡销相互作用，产生双向到位极限保护功能；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3、连接部位采用万向节，具备双向过摇保护装置；</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4、螺管壁厚度≥2.5mm，腔室管壁厚度≥4.0mm；</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5、外套塑料防尘罩；</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十、摇把</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伸缩杆外套管材料为铝合金型材，三档折叠。</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十一、护栏</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1、护栏铝合金材质，多支护栏支柱设计，护栏整圈焊接，表面光滑，间隙≤60mm，整体护栏长度:≥1760mm，高度≥390mm；单边护栏带两根气弹簧，具备双向负载止锁功能；</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2、开关支撑座采用压铸铝合金型材；</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3、护栏两端有ABS扶手护壳，光滑圆润。</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十二、喷塑工艺</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金属表面处理：采用喷涂线双层涂层内外防锈处理技术</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十二、配置</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1、不锈钢四爪输液架1支，双段伸缩式设计，规格：≥Φ19x0.9mmx900mm-1620mm</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2、可移动引流挂钩4个</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3、可伸缩餐板1个，规格：≥880-1050x320x27mm；ABS工程塑料注塑而成，铝合金伸缩骨架，挂钩采用嵌入式与拉丁固定方式强化固定，不易断裂松脱，可悬挂收藏于床头尾板</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4、杂物篓1个，规格：≥560x400x120mm</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5、环保棕三折床垫1张，四角圆角设计，配合床板，不易磨损，长宽与床相配；海绵加椰棕内胆，医用防水耐磨布外套，隐藏式拉链，厚度80mm，海绵60mm，海绵密度≥28°，环保椰棕，上下表面粘附一层纤维丝绒，不掉渣，厚度≥20m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自订单之日起1年内完成全部项目内容，并交付甲方验收合格。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预付款，合同签订后，甲方向乙方提出批次供货要求，确认样品后，乙方向甲方递交正规合法发票及合同约定的其他相关证明文件，达到付款条件起10个工作日内，支付合同总金额的40.0%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进度款，本批次全部货物到达现场且安装完毕，乙方向甲方递交正规合法发票及合同约定的其他相关证明文件，达到付款条件起10个工作日内，支付合同总金额的55.0%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尾款，待最后一批货物验收后，如无质量、技术、服务等问题，维保期期满后，乙方向甲方递交正规合法发票及合同约定的其他相关证明文件，达到付款条件起10个工作日内，支付合同总金额的5.0%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（1）合同约定的质量和技术要求。（2）货物原产地证明和出厂质量检验合格证书以及质量保修证书等和产品相关的证书。（3）安装调试、技术培训完成后，填写货物验收单。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产品质保期三年, 质保期内接到报修，2小时电话响应，24小时到现场，更换配件若超过72小时，无条件提供备床。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违约责任：详见合同文本。争议解决的方法：经协商在30天内不能达成协议时，则采取向甲方所在地有管辖权的人民法院提起诉讼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★1.投标人保证投标产品为全新、未使用的，在交货日期前3个月内生产（提供承诺书）。 ★2.最高限价（单价）：3750元/张。 ★3.本项目报价方式：双摇手动病床的单价（元/张），报价超过每张限价（3750元/张）投标将被拒绝。 ★4.提供投标产品的“第一类医疗器械备案信息表”，提供投标产品生产厂家的《营业执照》和医疗器械生产备案凭证。 ★5.产品维保期：三年 ★6.支付约定：因系统设置原因，支付约定应为“1.合同签订后，甲方向乙方提出批次供货要求，确认样品后，乙方向甲方递交正规合法发票及合同约定的其他相关证明文件，甲方在收到上述文件之日起 10 日内支付本批次货物货款的 40%作为项目预付款。2.本批次全部货物到达现场且安装完毕，乙方向甲方递交正规合法发票及合同约定的其他相关证明文件，甲方在收到上述文件之日起 10 日内支付本批次货款的 55%。 3.本批次整体验收后，如无质量 、技术、服务等问题，维保期期满后，乙方向甲方递交正规合法发票及合同约定的其他相关证明文件，甲方在收到上述文件之日起 10 日内，支付本批次货款的 5%。” ★7.本章3.4商务条款均为“实质性条款”，偏离（不满足）将导致投标被否决。 8.以下为说明条款：本章3.3技术参数与性能指标中标注的条款需在投标文件中附技术支持资料，技术支持资料以“投标产品生产厂家公开发布的印刷资料或检测机构出具的检测报告”为准。未附技术支持资料或技术支持资料不符合要求的，视为未响应或不满足。 9.样品：1、床头、床尾板材小样；2、床架直角切面小样；3、脚轮；4、全套护栏；5、床垫的直切角（含面料、内层结构剖面）。样品递交截止时间同投标文件递交截止时间（逾期不予接收）；递交地点：陕西省西安市雁塔区南二环西段58号成长大厦10层 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的能力。提供注册登记凭证（营业执照、其他组织经营的合法凭证，自然人的提供身份证明文件）3.具有良好的商业信誉和健全的财务会计制度。提供经审计具有注册会计师统一监管平台出具赋码的的2025年度（包括四表一注，即资产负债表、利润表、现金流量表、所有者权益变动表及其附注），且无反对意见；事业法人提供部门决算报告；/或在开标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 4.具有履行合同所必需的设备和专业技术能力。提供声明文件。 5.具有依法缴纳税收的良好记录。提供缴费所属日期为投标截止时间前3个月内任一月（投标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 6.具有依法缴纳社会保障资金的良好记录。提供缴费所属日期为投标截止时间前3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7.参加政府采购活动前3年内在经营活动中没有重大违法记录的书面声明。提供书面声明。 8.8.非法定代表人参加投标的，须提供法定代表人身份证明、法定代表人委托授权书、授权代表在投标单位缴纳的社保记录（近3个月内）；法定代表人参加投标时,只需提法定代表人身份证明。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投标人若为投标产品生产企业，提供医疗器械生产备案凭证</w:t>
            </w:r>
          </w:p>
        </w:tc>
        <w:tc>
          <w:tcPr>
            <w:tcW w:type="dxa" w:w="3322"/>
          </w:tcPr>
          <w:p>
            <w:pPr>
              <w:pStyle w:val="null3"/>
            </w:pPr>
            <w:r>
              <w:rPr>
                <w:rFonts w:ascii="仿宋_GB2312" w:hAnsi="仿宋_GB2312" w:cs="仿宋_GB2312" w:eastAsia="仿宋_GB2312"/>
              </w:rPr>
              <w:t>投标人若为投标产品生产企业，提供医疗器械生产备案凭证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异常低价情形，（（1）投标报价&lt;全部通过符合性审查供应商投标报价平均值×50%；（2）投标报价&lt;通过符合性审查的次低报价供应商投标报价×50%；（3）投标（响应）报价&lt;采购项目最高限价×45%；（4）评审委员会基于专业判断，认为供应商报价过低，有可能影响产品质量或者不能诚信履约的其他情形）。评标委员会应当要求其在60分钟内提供项目具体成本测算等与报价合理性相关的书面说明及必要的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投标方案说明书 投标函 标的清单 投标文件封面 技术规格响应偏离表 其他条款响应偏离表 商务条款响应偏离表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投标方案说明书 投标函 标的清单 投标文件封面 技术规格响应偏离表 其他条款响应偏离表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如有最高投标限价，是否超过最高投标限价）；2.投标报价有效期是否符合招标文件的要求；3.投标文件内容是否符合国家法律法规，没有重大偏离；4.对招标文件中规定的要求是否做出了实质性响应。</w:t>
            </w:r>
          </w:p>
        </w:tc>
        <w:tc>
          <w:tcPr>
            <w:tcW w:type="dxa" w:w="1661"/>
          </w:tcPr>
          <w:p>
            <w:pPr>
              <w:pStyle w:val="null3"/>
            </w:pPr>
            <w:r>
              <w:rPr>
                <w:rFonts w:ascii="仿宋_GB2312" w:hAnsi="仿宋_GB2312" w:cs="仿宋_GB2312" w:eastAsia="仿宋_GB2312"/>
              </w:rPr>
              <w:t>投标方案说明书 投标函 标的清单 投标文件封面 技术规格响应偏离表 技术支持资料 其他条款响应偏离表 商务条款响应偏离表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投标产品技术参数</w:t>
            </w:r>
          </w:p>
        </w:tc>
        <w:tc>
          <w:tcPr>
            <w:tcW w:type="dxa" w:w="2492"/>
          </w:tcPr>
          <w:p>
            <w:pPr>
              <w:pStyle w:val="null3"/>
            </w:pPr>
            <w:r>
              <w:rPr>
                <w:rFonts w:ascii="仿宋_GB2312" w:hAnsi="仿宋_GB2312" w:cs="仿宋_GB2312" w:eastAsia="仿宋_GB2312"/>
              </w:rPr>
              <w:t>全部满足得32分，一项非标注“★”符号条款未响应或不满足，扣2分。本项最低得0分。 注：第三章 技术要求中所有条款在投标文件中提供技术支持资料并在技术规格响应偏离表备注栏中标明对应页码。技术支持资料以投标货物制造商公开发布的印刷资料或技术白皮书或检测机构出具的检测报告或厂家产品说明或号条款允许的其它形式为准。无技术支持资料的或技术支持资料不符合要求的视为偏离（不响应），进行扣分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技术支持资料</w:t>
            </w:r>
          </w:p>
          <w:p>
            <w:pPr>
              <w:pStyle w:val="null3"/>
            </w:pPr>
            <w:r>
              <w:rPr>
                <w:rFonts w:ascii="仿宋_GB2312" w:hAnsi="仿宋_GB2312" w:cs="仿宋_GB2312" w:eastAsia="仿宋_GB2312"/>
              </w:rPr>
              <w:t>技术规格响应偏离表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投标人针对本项目提出具体的实施方案，方案内容包含：①产品质量保证措施②供货进度计划③物流保障措施④安装调试方案⑤项目验收方案；评审标准：方案各部分内容全面详细、阐述条理清晰详尽、符合本项目采购需求得10分；评审内容每缺一项扣2分，扣完为止；评审内容有一项内容缺陷扣0.5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投标人针对本项目提出具体的售后服务方案，方案内容包含：①售后服务保障体系②设备（产品）发生故障后的补救措施；③退还货方案。 评审标准：方案各部分内容全面详细、阐述条理清晰详尽、符合本项目采购需求得6分；评审内容每缺一项扣2分，扣完为止；评审内容有一项内容缺陷扣0.5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包含：①培训内容、培训人员安排、时间安排②培训结果考核（实操或笔试）；评审标准：方案各部分内容全面详细、阐述条理清晰详尽、符合本项目采购需求得4分；评审内容每缺一项扣2分，扣完为止；评审内容有一项内容缺陷扣0.5分。（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投标产品来源渠道</w:t>
            </w:r>
          </w:p>
        </w:tc>
        <w:tc>
          <w:tcPr>
            <w:tcW w:type="dxa" w:w="2492"/>
          </w:tcPr>
          <w:p>
            <w:pPr>
              <w:pStyle w:val="null3"/>
            </w:pPr>
            <w:r>
              <w:rPr>
                <w:rFonts w:ascii="仿宋_GB2312" w:hAnsi="仿宋_GB2312" w:cs="仿宋_GB2312" w:eastAsia="仿宋_GB2312"/>
              </w:rPr>
              <w:t>投标人提供给投标产品来源渠道证明：包括但不限于销售协议、代理协议、原厂授权或承诺书等，提供得2分，未提供的不得分。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提供2022年1月1日至今（以合同签订日期为准），产品业绩（与本次投标产品同型号）。一份有效业绩合同计2分。 评审依据：业绩合同扫描件，合同项下的发票扫描件和验收单扫描件。所有扫描件应清晰可辨，发票可查询。 合同扫描件不完整或发票不可查询或扫描见模糊，业绩不予认可。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投标人需提供以下配件样品： 1、床头、床尾板材小样； 2、床架直角切面小样； 3、脚轮； 4、全套护栏； 5、床垫的直切角（含面料、内层结构剖面）。 材质满足采购需求，表面平整光滑、厚度均匀、无变形、无毛刺、无破损、无明显瑕疵的，得 2 分，每有一项瑕疵，扣0.5分； 脚轮材质可靠、转动顺滑灵活、结构稳固、耐磨静音、承重性能良好的，得 2 分，每有一项瑕疵，扣0.5分； 液压杆伸缩平稳顺畅、阻尼适中、无卡顿、无漏油、无异响，材质及样式符合采购要求的，得 4 分每有一项瑕疵，扣1分； 床垫的直切角，面料平整细腻、缝线规整、无异味、结构密实，小样整体品质优良，得2分。每有一项瑕疵，扣0.5分。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详见附件：技术规格响应偏离表</w:t>
      </w:r>
    </w:p>
    <w:p>
      <w:pPr>
        <w:pStyle w:val="null3"/>
        <w:ind w:firstLine="960"/>
      </w:pPr>
      <w:r>
        <w:rPr>
          <w:rFonts w:ascii="仿宋_GB2312" w:hAnsi="仿宋_GB2312" w:cs="仿宋_GB2312" w:eastAsia="仿宋_GB2312"/>
        </w:rPr>
        <w:t>详见附件：技术支持资料</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详见附件：其他条款响应偏离表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详见附件：产品业绩</w:t>
      </w:r>
    </w:p>
    <w:p>
      <w:pPr>
        <w:pStyle w:val="null3"/>
        <w:ind w:firstLine="960"/>
      </w:pPr>
      <w:r>
        <w:rPr>
          <w:rFonts w:ascii="仿宋_GB2312" w:hAnsi="仿宋_GB2312" w:cs="仿宋_GB2312" w:eastAsia="仿宋_GB2312"/>
        </w:rPr>
        <w:t>详见附件：样品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