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版本号：ZZRC-2026-00520260521001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汉台区河东店镇健身步道采购项目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ZZRC-2026-005</w:t>
      </w:r>
      <w:r>
        <w:br/>
      </w:r>
      <w:r>
        <w:br/>
      </w:r>
      <w:r>
        <w:br/>
      </w:r>
    </w:p>
    <w:p>
      <w:pPr>
        <w:pStyle w:val="null3"/>
        <w:jc w:val="center"/>
        <w:outlineLvl w:val="2"/>
      </w:pPr>
      <w:r>
        <w:rPr>
          <w:rFonts w:ascii="仿宋_GB2312" w:hAnsi="仿宋_GB2312" w:cs="仿宋_GB2312" w:eastAsia="仿宋_GB2312"/>
          <w:sz w:val="28"/>
          <w:b/>
        </w:rPr>
        <w:t>汉台区河东店镇人民政府</w:t>
      </w:r>
    </w:p>
    <w:p>
      <w:pPr>
        <w:pStyle w:val="null3"/>
        <w:jc w:val="center"/>
        <w:outlineLvl w:val="2"/>
      </w:pPr>
      <w:r>
        <w:rPr>
          <w:rFonts w:ascii="仿宋_GB2312" w:hAnsi="仿宋_GB2312" w:cs="仿宋_GB2312" w:eastAsia="仿宋_GB2312"/>
          <w:sz w:val="28"/>
          <w:b/>
        </w:rPr>
        <w:t>汉中堃和工程技术咨询有限公司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汉中堃和工程技术咨询有限公司</w:t>
      </w:r>
      <w:r>
        <w:rPr>
          <w:rFonts w:ascii="仿宋_GB2312" w:hAnsi="仿宋_GB2312" w:cs="仿宋_GB2312" w:eastAsia="仿宋_GB2312"/>
        </w:rPr>
        <w:t>（以下简称“代理机构”）受</w:t>
      </w:r>
      <w:r>
        <w:rPr>
          <w:rFonts w:ascii="仿宋_GB2312" w:hAnsi="仿宋_GB2312" w:cs="仿宋_GB2312" w:eastAsia="仿宋_GB2312"/>
        </w:rPr>
        <w:t>汉台区河东店镇人民政府</w:t>
      </w:r>
      <w:r>
        <w:rPr>
          <w:rFonts w:ascii="仿宋_GB2312" w:hAnsi="仿宋_GB2312" w:cs="仿宋_GB2312" w:eastAsia="仿宋_GB2312"/>
        </w:rPr>
        <w:t>委托，拟对</w:t>
      </w:r>
      <w:r>
        <w:rPr>
          <w:rFonts w:ascii="仿宋_GB2312" w:hAnsi="仿宋_GB2312" w:cs="仿宋_GB2312" w:eastAsia="仿宋_GB2312"/>
        </w:rPr>
        <w:t>汉台区河东店镇健身步道采购项目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ZZRC-2026-005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汉台区河东店镇健身步道采购项目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铺设2米宽彩色健身步道，长度5千米，两边设置10厘米宽标线。设置健身步道标识、警示标识、文化墙标语、安装宣传栏、休息椅、健身器材及休息亭等配套设施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采购包1（汉台区河东店健身步道采购项目）：属于专门面向中小企业采购。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2、供应商资格承诺函：提供“汉中市政府采购供应商资格承诺函”</w:t>
      </w:r>
    </w:p>
    <w:p>
      <w:pPr>
        <w:pStyle w:val="null3"/>
      </w:pPr>
      <w:r>
        <w:rPr>
          <w:rFonts w:ascii="仿宋_GB2312" w:hAnsi="仿宋_GB2312" w:cs="仿宋_GB2312" w:eastAsia="仿宋_GB2312"/>
        </w:rPr>
        <w:t>3、法定代表人授权委托书：投标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汉台区河东店镇人民政府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陕西省汉中市汉台区河东店镇石门大道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汉台区河东店镇人民政府经办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13759815152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汉中堃和工程技术咨询有限公司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汉台区前进西路中航尚街附1号楼3楼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关天昕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0916-2245665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开户名称：汉中堃和工程技术咨询有限公司</w:t>
            </w:r>
          </w:p>
          <w:p>
            <w:pPr>
              <w:pStyle w:val="null3"/>
            </w:pPr>
            <w:r>
              <w:rPr>
                <w:rFonts w:ascii="仿宋_GB2312" w:hAnsi="仿宋_GB2312" w:cs="仿宋_GB2312" w:eastAsia="仿宋_GB2312"/>
              </w:rPr>
              <w:t>开户银行：中国农业银行天汉大道支行营业室</w:t>
            </w:r>
          </w:p>
          <w:p>
            <w:pPr>
              <w:pStyle w:val="null3"/>
            </w:pPr>
            <w:r>
              <w:rPr>
                <w:rFonts w:ascii="仿宋_GB2312" w:hAnsi="仿宋_GB2312" w:cs="仿宋_GB2312" w:eastAsia="仿宋_GB2312"/>
              </w:rPr>
              <w:t>银行账号：26605901040011890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本采购包履约保证金为合同金额的0.5%</w:t>
            </w:r>
          </w:p>
          <w:p>
            <w:pPr>
              <w:pStyle w:val="null3"/>
            </w:pPr>
            <w:r>
              <w:rPr>
                <w:rFonts w:ascii="仿宋_GB2312" w:hAnsi="仿宋_GB2312" w:cs="仿宋_GB2312" w:eastAsia="仿宋_GB2312"/>
              </w:rPr>
              <w:t>说明：汉台区河东店镇健身步道采购项目履约保证金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代理服务费收费标准：按原计价格【2002】1980号文计取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汉台区河东店镇人民政府</w:t>
      </w:r>
      <w:r>
        <w:rPr>
          <w:rFonts w:ascii="仿宋_GB2312" w:hAnsi="仿宋_GB2312" w:cs="仿宋_GB2312" w:eastAsia="仿宋_GB2312"/>
        </w:rPr>
        <w:t>和</w:t>
      </w:r>
      <w:r>
        <w:rPr>
          <w:rFonts w:ascii="仿宋_GB2312" w:hAnsi="仿宋_GB2312" w:cs="仿宋_GB2312" w:eastAsia="仿宋_GB2312"/>
        </w:rPr>
        <w:t>汉中堃和工程技术咨询有限公司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汉台区河东店镇人民政府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汉中堃和工程技术咨询有限公司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汉台区河东店镇人民政府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汉中堃和工程技术咨询有限公司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符合国家验收标准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汉中堃和工程技术咨询有限公司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汉中堃和工程技术咨询有限公司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汉中堃和工程技术咨询有限公司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联系人：关天昕</w:t>
      </w:r>
    </w:p>
    <w:p>
      <w:pPr>
        <w:pStyle w:val="null3"/>
      </w:pPr>
      <w:r>
        <w:rPr>
          <w:rFonts w:ascii="仿宋_GB2312" w:hAnsi="仿宋_GB2312" w:cs="仿宋_GB2312" w:eastAsia="仿宋_GB2312"/>
        </w:rPr>
        <w:t>联系电话：0916-2245665</w:t>
      </w:r>
    </w:p>
    <w:p>
      <w:pPr>
        <w:pStyle w:val="null3"/>
      </w:pPr>
      <w:r>
        <w:rPr>
          <w:rFonts w:ascii="仿宋_GB2312" w:hAnsi="仿宋_GB2312" w:cs="仿宋_GB2312" w:eastAsia="仿宋_GB2312"/>
        </w:rPr>
        <w:t>地址：汉台区前进西路中航尚街附1号楼3楼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铺设2米宽彩色健身步道，长度5千米，两边设置10厘米宽标线。设置健身步道标识、警示标识、文化墙标语、安装宣传栏、休息椅、健身器材及休息亭等配套设施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汉台区河东店镇健身步道采购项目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标的名称：汉台区河东店镇健身步道采购项目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4"/>
              <w:gridCol w:w="294"/>
              <w:gridCol w:w="1677"/>
              <w:gridCol w:w="148"/>
              <w:gridCol w:w="246"/>
            </w:tblGrid>
            <w:tr>
              <w:tc>
                <w:tcPr>
                  <w:tcW w:type="dxa" w:w="17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序号</w:t>
                  </w:r>
                </w:p>
              </w:tc>
              <w:tc>
                <w:tcPr>
                  <w:tcW w:type="dxa" w:w="294"/>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名称</w:t>
                  </w:r>
                </w:p>
              </w:tc>
              <w:tc>
                <w:tcPr>
                  <w:tcW w:type="dxa" w:w="1677"/>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技术规格</w:t>
                  </w:r>
                </w:p>
              </w:tc>
              <w:tc>
                <w:tcPr>
                  <w:tcW w:type="dxa" w:w="148"/>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单价</w:t>
                  </w:r>
                </w:p>
              </w:tc>
              <w:tc>
                <w:tcPr>
                  <w:tcW w:type="dxa" w:w="246"/>
                  <w:tcBorders>
                    <w:top w:val="single" w:color="000000" w:sz="4"/>
                    <w:left w:val="none" w:color="000000" w:sz="4"/>
                    <w:bottom w:val="single" w:color="000000" w:sz="4"/>
                    <w:right w:val="single" w:color="000000" w:sz="4"/>
                  </w:tcBorders>
                  <w:shd w:fill="BEBEBE"/>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color w:val="000000"/>
                    </w:rPr>
                    <w:t>数量</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健身步道水性聚合物彩色材料</w:t>
                  </w:r>
                </w:p>
                <w:p>
                  <w:pPr>
                    <w:pStyle w:val="null3"/>
                    <w:spacing w:before="105" w:after="105"/>
                    <w:jc w:val="center"/>
                  </w:pP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材质：水性聚合物彩色路面</w:t>
                  </w:r>
                  <w:r>
                    <w:rPr>
                      <w:rFonts w:ascii="仿宋_GB2312" w:hAnsi="仿宋_GB2312" w:cs="仿宋_GB2312" w:eastAsia="仿宋_GB2312"/>
                      <w:sz w:val="21"/>
                    </w:rPr>
                    <w:t>、</w:t>
                  </w: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w:t>
                  </w:r>
                  <w:r>
                    <w:rPr>
                      <w:rFonts w:ascii="仿宋_GB2312" w:hAnsi="仿宋_GB2312" w:cs="仿宋_GB2312" w:eastAsia="仿宋_GB2312"/>
                      <w:sz w:val="21"/>
                    </w:rPr>
                    <w:t>宽度：</w:t>
                  </w:r>
                  <w:r>
                    <w:rPr>
                      <w:rFonts w:ascii="仿宋_GB2312" w:hAnsi="仿宋_GB2312" w:cs="仿宋_GB2312" w:eastAsia="仿宋_GB2312"/>
                      <w:sz w:val="21"/>
                    </w:rPr>
                    <w:t>2m 颜色：橘色/绿</w:t>
                  </w:r>
                </w:p>
                <w:p>
                  <w:pPr>
                    <w:pStyle w:val="null3"/>
                    <w:jc w:val="both"/>
                  </w:pPr>
                  <w:r>
                    <w:rPr>
                      <w:rFonts w:ascii="仿宋_GB2312" w:hAnsi="仿宋_GB2312" w:cs="仿宋_GB2312" w:eastAsia="仿宋_GB2312"/>
                      <w:sz w:val="21"/>
                    </w:rPr>
                    <w:t>水性聚合物彩色路面是一种适应当前提倡</w:t>
                  </w:r>
                  <w:r>
                    <w:rPr>
                      <w:rFonts w:ascii="仿宋_GB2312" w:hAnsi="仿宋_GB2312" w:cs="仿宋_GB2312" w:eastAsia="仿宋_GB2312"/>
                      <w:sz w:val="21"/>
                    </w:rPr>
                    <w:t>“绿水青山，美丽乡村”号召，美化路面的理想材料,水性聚合物彩色路面是一种基于高分子聚合物与无机骨料复配的新型路面体系。通过专用施工工艺形成高耐候、高强度、防滑耐磨的整体彩色路面</w:t>
                  </w:r>
                  <w:r>
                    <w:rPr>
                      <w:rFonts w:ascii="仿宋_GB2312" w:hAnsi="仿宋_GB2312" w:cs="仿宋_GB2312" w:eastAsia="仿宋_GB2312"/>
                      <w:sz w:val="21"/>
                    </w:rPr>
                    <w:t>。</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rPr>
                    <w:t>㎡</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10000</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标线涂料</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90"/>
                    <w:jc w:val="both"/>
                  </w:pPr>
                  <w:r>
                    <w:rPr>
                      <w:rFonts w:ascii="仿宋_GB2312" w:hAnsi="仿宋_GB2312" w:cs="仿宋_GB2312" w:eastAsia="仿宋_GB2312"/>
                      <w:sz w:val="21"/>
                    </w:rPr>
                    <w:t>双组份划线漆、宽度</w:t>
                  </w:r>
                  <w:r>
                    <w:rPr>
                      <w:rFonts w:ascii="仿宋_GB2312" w:hAnsi="仿宋_GB2312" w:cs="仿宋_GB2312" w:eastAsia="仿宋_GB2312"/>
                      <w:sz w:val="21"/>
                    </w:rPr>
                    <w:t>10cm</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rPr>
                    <w:t>m</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10000</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3</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标识牌（起点、终点）</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680"/>
                    <w:jc w:val="both"/>
                  </w:pPr>
                  <w:r>
                    <w:rPr>
                      <w:rFonts w:ascii="仿宋_GB2312" w:hAnsi="仿宋_GB2312" w:cs="仿宋_GB2312" w:eastAsia="仿宋_GB2312"/>
                      <w:sz w:val="21"/>
                    </w:rPr>
                    <w:t>高度</w:t>
                  </w:r>
                  <w:r>
                    <w:rPr>
                      <w:rFonts w:ascii="仿宋_GB2312" w:hAnsi="仿宋_GB2312" w:cs="仿宋_GB2312" w:eastAsia="仿宋_GB2312"/>
                      <w:sz w:val="21"/>
                    </w:rPr>
                    <w:t>3m、宽度1.2m、镀锌钢管、PVC字</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rPr>
                    <w:t>个</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4</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标识牌（里程）</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0"/>
                    <w:jc w:val="both"/>
                  </w:pPr>
                  <w:r>
                    <w:rPr>
                      <w:rFonts w:ascii="仿宋_GB2312" w:hAnsi="仿宋_GB2312" w:cs="仿宋_GB2312" w:eastAsia="仿宋_GB2312"/>
                      <w:sz w:val="21"/>
                    </w:rPr>
                    <w:t>高度：</w:t>
                  </w:r>
                  <w:r>
                    <w:rPr>
                      <w:rFonts w:ascii="仿宋_GB2312" w:hAnsi="仿宋_GB2312" w:cs="仿宋_GB2312" w:eastAsia="仿宋_GB2312"/>
                      <w:sz w:val="21"/>
                    </w:rPr>
                    <w:t xml:space="preserve">2.6m  宽度：1.4m  </w:t>
                  </w:r>
                  <w:r>
                    <w:rPr>
                      <w:rFonts w:ascii="仿宋_GB2312" w:hAnsi="仿宋_GB2312" w:cs="仿宋_GB2312" w:eastAsia="仿宋_GB2312"/>
                      <w:sz w:val="21"/>
                    </w:rPr>
                    <w:t>材质：镀锌板、定制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个</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4</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5</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标识牌（里程）</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0"/>
                    <w:jc w:val="both"/>
                  </w:pPr>
                  <w:r>
                    <w:rPr>
                      <w:rFonts w:ascii="仿宋_GB2312" w:hAnsi="仿宋_GB2312" w:cs="仿宋_GB2312" w:eastAsia="仿宋_GB2312"/>
                      <w:sz w:val="21"/>
                    </w:rPr>
                    <w:t>高度：</w:t>
                  </w:r>
                  <w:r>
                    <w:rPr>
                      <w:rFonts w:ascii="仿宋_GB2312" w:hAnsi="仿宋_GB2312" w:cs="仿宋_GB2312" w:eastAsia="仿宋_GB2312"/>
                      <w:sz w:val="21"/>
                    </w:rPr>
                    <w:t>0.65m 、宽度：0.4m</w:t>
                  </w:r>
                  <w:r>
                    <w:rPr>
                      <w:rFonts w:ascii="仿宋_GB2312" w:hAnsi="仿宋_GB2312" w:cs="仿宋_GB2312" w:eastAsia="仿宋_GB2312"/>
                      <w:sz w:val="21"/>
                    </w:rPr>
                    <w:t xml:space="preserve">   </w:t>
                  </w:r>
                  <w:r>
                    <w:rPr>
                      <w:rFonts w:ascii="仿宋_GB2312" w:hAnsi="仿宋_GB2312" w:cs="仿宋_GB2312" w:eastAsia="仿宋_GB2312"/>
                      <w:sz w:val="21"/>
                    </w:rPr>
                    <w:t>材质：镀锌板、定制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个</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5</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6</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宣传栏</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0"/>
                    <w:jc w:val="both"/>
                  </w:pPr>
                  <w:r>
                    <w:rPr>
                      <w:rFonts w:ascii="仿宋_GB2312" w:hAnsi="仿宋_GB2312" w:cs="仿宋_GB2312" w:eastAsia="仿宋_GB2312"/>
                      <w:sz w:val="21"/>
                    </w:rPr>
                    <w:t>高度：</w:t>
                  </w:r>
                  <w:r>
                    <w:rPr>
                      <w:rFonts w:ascii="仿宋_GB2312" w:hAnsi="仿宋_GB2312" w:cs="仿宋_GB2312" w:eastAsia="仿宋_GB2312"/>
                      <w:sz w:val="21"/>
                    </w:rPr>
                    <w:t>3m  宽度：6.3m</w:t>
                  </w:r>
                  <w:r>
                    <w:rPr>
                      <w:rFonts w:ascii="仿宋_GB2312" w:hAnsi="仿宋_GB2312" w:cs="仿宋_GB2312" w:eastAsia="仿宋_GB2312"/>
                      <w:sz w:val="21"/>
                    </w:rPr>
                    <w:t xml:space="preserve">   </w:t>
                  </w:r>
                  <w:r>
                    <w:rPr>
                      <w:rFonts w:ascii="仿宋_GB2312" w:hAnsi="仿宋_GB2312" w:cs="仿宋_GB2312" w:eastAsia="仿宋_GB2312"/>
                      <w:sz w:val="21"/>
                    </w:rPr>
                    <w:t>材质：镀锌板、定制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个</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7</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休息亭</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       钢结构、镀锌板、高度2.4m*宽度3m*深度1.5m</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个</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8</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标语</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050"/>
                    <w:jc w:val="both"/>
                  </w:pPr>
                  <w:r>
                    <w:rPr>
                      <w:rFonts w:ascii="仿宋_GB2312" w:hAnsi="仿宋_GB2312" w:cs="仿宋_GB2312" w:eastAsia="仿宋_GB2312"/>
                      <w:sz w:val="21"/>
                    </w:rPr>
                    <w:t>高密度</w:t>
                  </w:r>
                  <w:r>
                    <w:rPr>
                      <w:rFonts w:ascii="仿宋_GB2312" w:hAnsi="仿宋_GB2312" w:cs="仿宋_GB2312" w:eastAsia="仿宋_GB2312"/>
                      <w:sz w:val="21"/>
                    </w:rPr>
                    <w:t>PVC字、字高25cm；底层粉刷墙面</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35</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9</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腿部侧展训练器</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10</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棋牌桌</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11</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双人漫步机</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12</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直立健身车</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13</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腰背按摩器</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14</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上肢牵引器</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16</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三位扭腰器</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17</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乒乓球台</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18</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提踵训练器</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★器材符合国家标准GB19272-2024《室外健身器材的安全通用要求》并提供经国家认证认可监督管理委员会批准具备体育用品认证资格的第三方认证机构出具的认证证书及有效期内的确认函</w:t>
                  </w:r>
                  <w:r>
                    <w:rPr>
                      <w:rFonts w:ascii="仿宋_GB2312" w:hAnsi="仿宋_GB2312" w:cs="仿宋_GB2312" w:eastAsia="仿宋_GB2312"/>
                      <w:sz w:val="21"/>
                    </w:rPr>
                    <w:t>扫描件</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19</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休息椅</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铸铁、塑木、长度不小于</w:t>
                  </w:r>
                  <w:r>
                    <w:rPr>
                      <w:rFonts w:ascii="仿宋_GB2312" w:hAnsi="仿宋_GB2312" w:cs="仿宋_GB2312" w:eastAsia="仿宋_GB2312"/>
                      <w:sz w:val="21"/>
                    </w:rPr>
                    <w:t>1.5m</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套</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12</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20</w:t>
                  </w:r>
                </w:p>
              </w:tc>
              <w:tc>
                <w:tcPr>
                  <w:tcW w:type="dxa" w:w="2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运动地板</w:t>
                  </w:r>
                </w:p>
              </w:tc>
              <w:tc>
                <w:tcPr>
                  <w:tcW w:type="dxa" w:w="1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料：采用改性聚丙烯，无毒无味、防水耐湿、不寄生细菌、绿色环保，安全卫生。结构：专业防滑面层，防滑效果更佳，采用加固弹性支撑系统，板体结构超强稳定，弹性锁扣设计，防止热胀冷缩导致的地板位移、变形。</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规格：</w:t>
                  </w:r>
                  <w:r>
                    <w:rPr>
                      <w:rFonts w:ascii="仿宋_GB2312" w:hAnsi="仿宋_GB2312" w:cs="仿宋_GB2312" w:eastAsia="仿宋_GB2312"/>
                      <w:sz w:val="21"/>
                    </w:rPr>
                    <w:t>≥3</w:t>
                  </w:r>
                  <w:r>
                    <w:rPr>
                      <w:rFonts w:ascii="仿宋_GB2312" w:hAnsi="仿宋_GB2312" w:cs="仿宋_GB2312" w:eastAsia="仿宋_GB2312"/>
                      <w:sz w:val="21"/>
                    </w:rPr>
                    <w:t>4*34cm</w:t>
                  </w:r>
                  <w:r>
                    <w:rPr>
                      <w:rFonts w:ascii="仿宋_GB2312" w:hAnsi="仿宋_GB2312" w:cs="仿宋_GB2312" w:eastAsia="仿宋_GB2312"/>
                      <w:sz w:val="21"/>
                    </w:rPr>
                    <w:t>；厚度</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cm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垂直变形：</w:t>
                  </w:r>
                  <w:r>
                    <w:rPr>
                      <w:rFonts w:ascii="仿宋_GB2312" w:hAnsi="仿宋_GB2312" w:cs="仿宋_GB2312" w:eastAsia="仿宋_GB2312"/>
                      <w:sz w:val="21"/>
                    </w:rPr>
                    <w:t>0.6-3.0mm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抗滑值（</w:t>
                  </w:r>
                  <w:r>
                    <w:rPr>
                      <w:rFonts w:ascii="仿宋_GB2312" w:hAnsi="仿宋_GB2312" w:cs="仿宋_GB2312" w:eastAsia="仿宋_GB2312"/>
                      <w:sz w:val="21"/>
                    </w:rPr>
                    <w:t>20℃）：80-110BPN</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.经耐湿热老化不低于336h后，检测周期不低于老化时长，拉伸强度老化前后≥0.7MPa,拉断伸长率老化前后≥90%，老化前后保持率≥80%，</w:t>
                  </w:r>
                  <w:r>
                    <w:rPr>
                      <w:rFonts w:ascii="仿宋_GB2312" w:hAnsi="仿宋_GB2312" w:cs="仿宋_GB2312" w:eastAsia="仿宋_GB2312"/>
                      <w:sz w:val="21"/>
                    </w:rPr>
                    <w:t>须</w:t>
                  </w:r>
                  <w:r>
                    <w:rPr>
                      <w:rFonts w:ascii="仿宋_GB2312" w:hAnsi="仿宋_GB2312" w:cs="仿宋_GB2312" w:eastAsia="仿宋_GB2312"/>
                      <w:sz w:val="21"/>
                    </w:rPr>
                    <w:t>提供具有</w:t>
                  </w:r>
                  <w:r>
                    <w:rPr>
                      <w:rFonts w:ascii="仿宋_GB2312" w:hAnsi="仿宋_GB2312" w:cs="仿宋_GB2312" w:eastAsia="仿宋_GB2312"/>
                      <w:sz w:val="21"/>
                    </w:rPr>
                    <w:t>CMA和CNAS标识的对此项要求的单独测试合格检测报告及</w:t>
                  </w:r>
                  <w:r>
                    <w:rPr>
                      <w:rFonts w:ascii="仿宋_GB2312" w:hAnsi="仿宋_GB2312" w:cs="仿宋_GB2312" w:eastAsia="仿宋_GB2312"/>
                      <w:sz w:val="21"/>
                    </w:rPr>
                    <w:t>全国认证认可信息公共服务平台查询截图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.为保证产品四季稳定性，经循环测试（湿热-冻融-氙灯-雨水浸泡）总时长不低于2000h后，检测周期不低于老化时长，灰卡等级4-5级；尺寸变化率≤0.4%，</w:t>
                  </w:r>
                  <w:r>
                    <w:rPr>
                      <w:rFonts w:ascii="仿宋_GB2312" w:hAnsi="仿宋_GB2312" w:cs="仿宋_GB2312" w:eastAsia="仿宋_GB2312"/>
                      <w:sz w:val="21"/>
                    </w:rPr>
                    <w:t>须</w:t>
                  </w:r>
                  <w:r>
                    <w:rPr>
                      <w:rFonts w:ascii="仿宋_GB2312" w:hAnsi="仿宋_GB2312" w:cs="仿宋_GB2312" w:eastAsia="仿宋_GB2312"/>
                      <w:sz w:val="21"/>
                    </w:rPr>
                    <w:t>提供具有</w:t>
                  </w:r>
                  <w:r>
                    <w:rPr>
                      <w:rFonts w:ascii="仿宋_GB2312" w:hAnsi="仿宋_GB2312" w:cs="仿宋_GB2312" w:eastAsia="仿宋_GB2312"/>
                      <w:sz w:val="21"/>
                    </w:rPr>
                    <w:t>CMA和CNAS标识的对此项要求的单独测试合格检测报告及</w:t>
                  </w:r>
                  <w:r>
                    <w:rPr>
                      <w:rFonts w:ascii="仿宋_GB2312" w:hAnsi="仿宋_GB2312" w:cs="仿宋_GB2312" w:eastAsia="仿宋_GB2312"/>
                      <w:sz w:val="21"/>
                    </w:rPr>
                    <w:t>全国认证认可信息公共服务平台查询截图</w:t>
                  </w:r>
                  <w:r>
                    <w:rPr>
                      <w:rFonts w:ascii="仿宋_GB2312" w:hAnsi="仿宋_GB2312" w:cs="仿宋_GB2312" w:eastAsia="仿宋_GB2312"/>
                      <w:sz w:val="21"/>
                    </w:rPr>
                    <w:t>。</w:t>
                  </w:r>
                </w:p>
              </w:tc>
              <w:tc>
                <w:tcPr>
                  <w:tcW w:type="dxa" w:w="1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w:t>
                  </w:r>
                </w:p>
              </w:tc>
              <w:tc>
                <w:tcPr>
                  <w:tcW w:type="dxa" w:w="24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18"/>
                      <w:b/>
                      <w:color w:val="000000"/>
                    </w:rPr>
                    <w:t>90</w:t>
                  </w:r>
                </w:p>
              </w:tc>
            </w:tr>
            <w:tr>
              <w:tc>
                <w:tcPr>
                  <w:tcW w:type="dxa" w:w="17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365"/>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1、</w:t>
                  </w:r>
                  <w:r>
                    <w:rPr>
                      <w:rFonts w:ascii="仿宋_GB2312" w:hAnsi="仿宋_GB2312" w:cs="仿宋_GB2312" w:eastAsia="仿宋_GB2312"/>
                      <w:sz w:val="21"/>
                    </w:rPr>
                    <w:t>带</w:t>
                  </w:r>
                  <w:r>
                    <w:rPr>
                      <w:rFonts w:ascii="仿宋_GB2312" w:hAnsi="仿宋_GB2312" w:cs="仿宋_GB2312" w:eastAsia="仿宋_GB2312"/>
                      <w:sz w:val="21"/>
                    </w:rPr>
                    <w:t>“★”的参数需求为实质性要求，供应商必须响应并满足的参数需求</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2、健身器材需提供制造商授权书。</w:t>
                  </w:r>
                </w:p>
                <w:p>
                  <w:pPr>
                    <w:pStyle w:val="null3"/>
                    <w:ind w:firstLine="420"/>
                    <w:jc w:val="both"/>
                  </w:pPr>
                  <w:r>
                    <w:rPr>
                      <w:rFonts w:ascii="仿宋_GB2312" w:hAnsi="仿宋_GB2312" w:cs="仿宋_GB2312" w:eastAsia="仿宋_GB2312"/>
                      <w:sz w:val="21"/>
                    </w:rPr>
                    <w:t>3、主材产品（健身步道水性聚合物彩色材料）为核心产品，需提供制造商授权书，若不同投标供应商投该产品为同一品牌，视为同一供应商。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2026年7月31日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汉中市汉台区河东店镇</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采购内容全部到场后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本次采购范围均保修，保修期1年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向采购人所在地人民法院提起诉讼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资格证明材料内容及格式.docx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资格证明材料内容及格式.docx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投标无效条件：投标文件未按招标文件要求签 署、盖章的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响应函 监狱企业的证明文件 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投标无效条件：投标人投标报价超出采购预算 或最高限价的</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投标无效条件：投标有效期不满足招标文件要 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本项目授权谈判小组直接确认成交供应商，确认后代理机构在陕西省政府采购网上发布成交结果公告，同时向成交供应商发出成交通知书。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详见附件：资格证明材料内容及格式.docx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