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04CBE">
      <w:pPr>
        <w:pStyle w:val="4"/>
        <w:jc w:val="center"/>
        <w:rPr>
          <w:rStyle w:val="7"/>
          <w:rFonts w:hint="eastAsia" w:ascii="宋体" w:hAnsi="宋体" w:eastAsia="宋体" w:cs="Arial"/>
          <w:b/>
          <w:bCs/>
          <w:color w:val="auto"/>
          <w:sz w:val="36"/>
        </w:rPr>
      </w:pPr>
      <w:r>
        <w:rPr>
          <w:rStyle w:val="7"/>
          <w:rFonts w:hint="eastAsia" w:ascii="宋体" w:hAnsi="宋体" w:cs="Arial"/>
          <w:b/>
          <w:bCs/>
          <w:color w:val="auto"/>
          <w:sz w:val="36"/>
          <w:lang w:val="en-US" w:eastAsia="zh-CN"/>
        </w:rPr>
        <w:t>货物采购</w:t>
      </w:r>
      <w:r>
        <w:rPr>
          <w:rStyle w:val="7"/>
          <w:rFonts w:hint="eastAsia" w:ascii="宋体" w:hAnsi="宋体" w:eastAsia="宋体" w:cs="Arial"/>
          <w:b/>
          <w:bCs/>
          <w:color w:val="auto"/>
          <w:sz w:val="36"/>
        </w:rPr>
        <w:t>合同</w:t>
      </w:r>
    </w:p>
    <w:p w14:paraId="1115F04E">
      <w:pPr>
        <w:pStyle w:val="4"/>
        <w:jc w:val="center"/>
        <w:rPr>
          <w:rFonts w:hint="eastAsia" w:ascii="宋体" w:hAnsi="宋体" w:eastAsia="宋体"/>
          <w:color w:val="auto"/>
        </w:rPr>
      </w:pPr>
      <w:r>
        <w:rPr>
          <w:rFonts w:hint="eastAsia" w:ascii="宋体" w:hAnsi="宋体" w:eastAsia="宋体"/>
          <w:b w:val="0"/>
          <w:color w:val="auto"/>
          <w:sz w:val="36"/>
        </w:rPr>
        <w:t>（</w:t>
      </w:r>
      <w:r>
        <w:rPr>
          <w:rFonts w:hint="eastAsia" w:ascii="宋体" w:hAnsi="宋体" w:eastAsia="宋体"/>
          <w:color w:val="auto"/>
          <w:sz w:val="36"/>
          <w:lang w:val="en-US" w:eastAsia="zh-CN"/>
        </w:rPr>
        <w:t>仅</w:t>
      </w:r>
      <w:r>
        <w:rPr>
          <w:rFonts w:hint="eastAsia" w:ascii="宋体" w:hAnsi="宋体" w:eastAsia="宋体"/>
          <w:color w:val="auto"/>
          <w:sz w:val="36"/>
        </w:rPr>
        <w:t>供参考。以实际签订合同为准）</w:t>
      </w:r>
    </w:p>
    <w:p w14:paraId="4EC2FDD7">
      <w:pPr>
        <w:spacing w:line="360" w:lineRule="auto"/>
        <w:jc w:val="right"/>
        <w:rPr>
          <w:rFonts w:hint="eastAsia" w:ascii="宋体" w:hAnsi="宋体" w:eastAsia="宋体" w:cs="楷体_GB2312"/>
          <w:b/>
          <w:color w:val="auto"/>
          <w:sz w:val="36"/>
          <w:szCs w:val="24"/>
        </w:rPr>
      </w:pPr>
    </w:p>
    <w:p w14:paraId="3818F167">
      <w:pPr>
        <w:spacing w:line="360" w:lineRule="auto"/>
        <w:jc w:val="right"/>
        <w:rPr>
          <w:rFonts w:ascii="宋体" w:hAnsi="宋体" w:eastAsia="宋体"/>
          <w:b/>
          <w:color w:val="auto"/>
          <w:sz w:val="36"/>
          <w:szCs w:val="24"/>
        </w:rPr>
      </w:pPr>
      <w:r>
        <w:rPr>
          <w:rFonts w:hint="eastAsia" w:ascii="宋体" w:hAnsi="宋体" w:eastAsia="宋体" w:cs="楷体_GB2312"/>
          <w:b/>
          <w:color w:val="auto"/>
          <w:sz w:val="36"/>
          <w:szCs w:val="24"/>
        </w:rPr>
        <w:t>合同编号：</w:t>
      </w:r>
      <w:r>
        <w:rPr>
          <w:rFonts w:ascii="宋体" w:hAnsi="宋体" w:eastAsia="宋体"/>
          <w:b/>
          <w:color w:val="auto"/>
          <w:sz w:val="36"/>
          <w:szCs w:val="24"/>
          <w:u w:val="single"/>
        </w:rPr>
        <w:t xml:space="preserve">                      </w:t>
      </w:r>
      <w:r>
        <w:rPr>
          <w:rFonts w:ascii="宋体" w:hAnsi="宋体" w:eastAsia="宋体"/>
          <w:b/>
          <w:color w:val="auto"/>
          <w:sz w:val="36"/>
          <w:szCs w:val="24"/>
        </w:rPr>
        <w:t xml:space="preserve">   </w:t>
      </w:r>
    </w:p>
    <w:p w14:paraId="5DC6CBAA">
      <w:pPr>
        <w:spacing w:line="360" w:lineRule="auto"/>
        <w:jc w:val="center"/>
        <w:rPr>
          <w:rFonts w:hint="eastAsia" w:ascii="宋体" w:hAnsi="宋体" w:eastAsia="宋体"/>
          <w:b/>
          <w:color w:val="auto"/>
          <w:sz w:val="36"/>
          <w:szCs w:val="24"/>
          <w:lang w:eastAsia="zh-CN"/>
        </w:rPr>
      </w:pPr>
    </w:p>
    <w:p w14:paraId="3E9982FA">
      <w:pPr>
        <w:spacing w:line="360" w:lineRule="auto"/>
        <w:jc w:val="center"/>
        <w:rPr>
          <w:rFonts w:hint="eastAsia" w:ascii="宋体" w:hAnsi="宋体" w:eastAsia="宋体"/>
          <w:b/>
          <w:color w:val="auto"/>
          <w:sz w:val="36"/>
          <w:szCs w:val="24"/>
          <w:lang w:eastAsia="zh-CN"/>
        </w:rPr>
      </w:pPr>
    </w:p>
    <w:p w14:paraId="59F14258">
      <w:pPr>
        <w:spacing w:line="360" w:lineRule="auto"/>
        <w:jc w:val="center"/>
        <w:rPr>
          <w:rFonts w:hint="eastAsia" w:ascii="宋体" w:hAnsi="宋体" w:eastAsia="宋体"/>
          <w:b/>
          <w:color w:val="auto"/>
          <w:sz w:val="36"/>
          <w:szCs w:val="24"/>
          <w:lang w:eastAsia="zh-CN"/>
        </w:rPr>
      </w:pPr>
    </w:p>
    <w:p w14:paraId="1A543171">
      <w:pPr>
        <w:spacing w:line="360" w:lineRule="auto"/>
        <w:jc w:val="center"/>
        <w:rPr>
          <w:rFonts w:ascii="宋体" w:hAnsi="宋体" w:eastAsia="宋体"/>
          <w:b/>
          <w:color w:val="auto"/>
          <w:sz w:val="36"/>
          <w:szCs w:val="24"/>
        </w:rPr>
      </w:pPr>
      <w:r>
        <w:rPr>
          <w:rFonts w:ascii="宋体" w:hAnsi="宋体" w:eastAsia="宋体"/>
          <w:b/>
          <w:color w:val="auto"/>
          <w:sz w:val="36"/>
          <w:szCs w:val="24"/>
        </w:rPr>
        <w:t> </w:t>
      </w:r>
      <w:r>
        <w:rPr>
          <w:rFonts w:hint="eastAsia" w:ascii="宋体" w:hAnsi="宋体" w:eastAsia="宋体"/>
          <w:b/>
          <w:color w:val="auto"/>
          <w:sz w:val="36"/>
          <w:szCs w:val="24"/>
        </w:rPr>
        <w:t>政府</w:t>
      </w:r>
      <w:r>
        <w:rPr>
          <w:rFonts w:hint="eastAsia" w:ascii="宋体" w:hAnsi="宋体" w:eastAsia="宋体" w:cs="黑体"/>
          <w:b/>
          <w:color w:val="auto"/>
          <w:sz w:val="36"/>
          <w:szCs w:val="24"/>
        </w:rPr>
        <w:t>采购合同</w:t>
      </w:r>
    </w:p>
    <w:p w14:paraId="4A88D736">
      <w:pPr>
        <w:spacing w:line="360" w:lineRule="auto"/>
        <w:jc w:val="center"/>
        <w:rPr>
          <w:rFonts w:ascii="宋体" w:hAnsi="宋体" w:eastAsia="宋体"/>
          <w:b/>
          <w:color w:val="auto"/>
          <w:sz w:val="36"/>
          <w:szCs w:val="24"/>
        </w:rPr>
      </w:pPr>
    </w:p>
    <w:p w14:paraId="36D8EF42">
      <w:pPr>
        <w:spacing w:line="360" w:lineRule="auto"/>
        <w:jc w:val="center"/>
        <w:rPr>
          <w:rFonts w:ascii="宋体" w:hAnsi="宋体" w:eastAsia="宋体"/>
          <w:b/>
          <w:color w:val="auto"/>
          <w:sz w:val="36"/>
          <w:szCs w:val="24"/>
        </w:rPr>
      </w:pPr>
    </w:p>
    <w:p w14:paraId="090C65CD">
      <w:pPr>
        <w:spacing w:line="360" w:lineRule="auto"/>
        <w:jc w:val="center"/>
        <w:rPr>
          <w:rFonts w:hint="eastAsia" w:ascii="宋体" w:hAnsi="宋体" w:eastAsia="宋体"/>
          <w:b/>
          <w:color w:val="auto"/>
          <w:sz w:val="36"/>
          <w:szCs w:val="24"/>
        </w:rPr>
      </w:pPr>
    </w:p>
    <w:p w14:paraId="0B03DDA6">
      <w:pPr>
        <w:pStyle w:val="4"/>
        <w:rPr>
          <w:rFonts w:hint="eastAsia" w:ascii="宋体" w:hAnsi="宋体" w:eastAsia="宋体"/>
          <w:color w:val="auto"/>
          <w:lang w:val="en-US" w:eastAsia="zh-CN"/>
        </w:rPr>
      </w:pPr>
    </w:p>
    <w:p w14:paraId="4E98E1D3">
      <w:pPr>
        <w:rPr>
          <w:rFonts w:hint="eastAsia" w:ascii="宋体" w:hAnsi="宋体" w:eastAsia="宋体"/>
          <w:color w:val="auto"/>
        </w:rPr>
      </w:pPr>
    </w:p>
    <w:p w14:paraId="6F1CC5FE">
      <w:pPr>
        <w:pStyle w:val="4"/>
        <w:rPr>
          <w:rFonts w:hint="eastAsia" w:ascii="宋体" w:hAnsi="宋体" w:eastAsia="宋体"/>
          <w:color w:val="auto"/>
          <w:lang w:val="en-US" w:eastAsia="zh-CN"/>
        </w:rPr>
      </w:pPr>
    </w:p>
    <w:p w14:paraId="236FDA83">
      <w:pPr>
        <w:rPr>
          <w:rFonts w:hint="eastAsia" w:ascii="宋体" w:hAnsi="宋体" w:eastAsia="宋体"/>
          <w:color w:val="auto"/>
        </w:rPr>
      </w:pPr>
    </w:p>
    <w:p w14:paraId="470F55F3">
      <w:pPr>
        <w:pStyle w:val="4"/>
        <w:rPr>
          <w:rFonts w:hint="eastAsia" w:ascii="宋体" w:hAnsi="宋体" w:eastAsia="宋体"/>
          <w:color w:val="auto"/>
          <w:lang w:val="en-US" w:eastAsia="zh-CN"/>
        </w:rPr>
      </w:pPr>
    </w:p>
    <w:p w14:paraId="0E59075D">
      <w:pPr>
        <w:rPr>
          <w:rFonts w:ascii="宋体" w:hAnsi="宋体" w:eastAsia="宋体"/>
          <w:color w:val="auto"/>
        </w:rPr>
      </w:pPr>
    </w:p>
    <w:p w14:paraId="582061DD">
      <w:pPr>
        <w:spacing w:line="360" w:lineRule="auto"/>
        <w:jc w:val="center"/>
        <w:rPr>
          <w:rFonts w:ascii="宋体" w:hAnsi="宋体" w:eastAsia="宋体"/>
          <w:b/>
          <w:color w:val="auto"/>
          <w:sz w:val="36"/>
          <w:szCs w:val="24"/>
        </w:rPr>
      </w:pPr>
    </w:p>
    <w:p w14:paraId="66E3EF05">
      <w:pPr>
        <w:spacing w:line="360" w:lineRule="auto"/>
        <w:jc w:val="center"/>
        <w:rPr>
          <w:rFonts w:ascii="宋体" w:hAnsi="宋体" w:eastAsia="宋体"/>
          <w:b/>
          <w:color w:val="auto"/>
          <w:sz w:val="32"/>
          <w:szCs w:val="24"/>
        </w:rPr>
      </w:pPr>
    </w:p>
    <w:p w14:paraId="3B6169A6">
      <w:pPr>
        <w:spacing w:line="360" w:lineRule="auto"/>
        <w:rPr>
          <w:rFonts w:hint="eastAsia" w:ascii="宋体" w:hAnsi="宋体" w:eastAsia="宋体" w:cs="等线 Light"/>
          <w:b/>
          <w:color w:val="auto"/>
          <w:sz w:val="32"/>
          <w:szCs w:val="24"/>
          <w:lang w:eastAsia="zh-CN"/>
        </w:rPr>
      </w:pPr>
      <w:r>
        <w:rPr>
          <w:rFonts w:hint="eastAsia" w:ascii="宋体" w:hAnsi="宋体" w:eastAsia="宋体" w:cs="等线 Light"/>
          <w:b/>
          <w:color w:val="auto"/>
          <w:sz w:val="32"/>
          <w:szCs w:val="24"/>
        </w:rPr>
        <w:t xml:space="preserve">项目名称：   </w:t>
      </w:r>
    </w:p>
    <w:p w14:paraId="428088EE">
      <w:pPr>
        <w:spacing w:line="360" w:lineRule="auto"/>
        <w:rPr>
          <w:rFonts w:hint="eastAsia" w:ascii="宋体" w:hAnsi="宋体" w:eastAsia="宋体" w:cs="等线 Light"/>
          <w:b/>
          <w:color w:val="auto"/>
          <w:sz w:val="32"/>
          <w:szCs w:val="22"/>
          <w:lang w:eastAsia="zh-CN"/>
        </w:rPr>
      </w:pPr>
      <w:r>
        <w:rPr>
          <w:rFonts w:hint="eastAsia" w:ascii="宋体" w:hAnsi="宋体" w:eastAsia="宋体" w:cs="等线 Light"/>
          <w:b/>
          <w:color w:val="auto"/>
          <w:sz w:val="32"/>
          <w:szCs w:val="22"/>
        </w:rPr>
        <w:t>甲</w:t>
      </w:r>
      <w:r>
        <w:rPr>
          <w:rFonts w:ascii="宋体" w:hAnsi="宋体" w:eastAsia="宋体"/>
          <w:b/>
          <w:color w:val="auto"/>
          <w:sz w:val="32"/>
          <w:szCs w:val="22"/>
        </w:rPr>
        <w:t>    </w:t>
      </w:r>
      <w:r>
        <w:rPr>
          <w:rFonts w:hint="eastAsia" w:ascii="宋体" w:hAnsi="宋体" w:eastAsia="宋体" w:cs="等线 Light"/>
          <w:b/>
          <w:color w:val="auto"/>
          <w:sz w:val="32"/>
          <w:szCs w:val="22"/>
        </w:rPr>
        <w:t>方：</w:t>
      </w:r>
    </w:p>
    <w:p w14:paraId="78F97A76">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乙</w:t>
      </w:r>
      <w:r>
        <w:rPr>
          <w:rFonts w:ascii="宋体" w:hAnsi="宋体" w:eastAsia="宋体"/>
          <w:b/>
          <w:color w:val="auto"/>
          <w:sz w:val="32"/>
          <w:szCs w:val="22"/>
        </w:rPr>
        <w:t>    </w:t>
      </w:r>
      <w:r>
        <w:rPr>
          <w:rFonts w:hint="eastAsia" w:ascii="宋体" w:hAnsi="宋体" w:eastAsia="宋体" w:cs="等线 Light"/>
          <w:b/>
          <w:color w:val="auto"/>
          <w:sz w:val="32"/>
          <w:szCs w:val="22"/>
        </w:rPr>
        <w:t>方：</w:t>
      </w:r>
      <w:r>
        <w:rPr>
          <w:rFonts w:ascii="宋体" w:hAnsi="宋体" w:eastAsia="宋体" w:cs="等线 Light"/>
          <w:b/>
          <w:color w:val="auto"/>
          <w:sz w:val="32"/>
          <w:szCs w:val="22"/>
        </w:rPr>
        <w:t xml:space="preserve"> </w:t>
      </w:r>
    </w:p>
    <w:p w14:paraId="5A297660">
      <w:pPr>
        <w:spacing w:line="360" w:lineRule="auto"/>
        <w:rPr>
          <w:rFonts w:ascii="宋体" w:hAnsi="宋体" w:eastAsia="宋体" w:cs="等线 Light"/>
          <w:b/>
          <w:color w:val="auto"/>
          <w:sz w:val="32"/>
          <w:szCs w:val="22"/>
        </w:rPr>
      </w:pPr>
      <w:r>
        <w:rPr>
          <w:rFonts w:ascii="宋体" w:hAnsi="宋体" w:eastAsia="宋体" w:cs="等线 Light"/>
          <w:b/>
          <w:color w:val="auto"/>
          <w:sz w:val="32"/>
          <w:szCs w:val="22"/>
        </w:rPr>
        <w:t xml:space="preserve">                 </w:t>
      </w:r>
    </w:p>
    <w:p w14:paraId="377BAE25">
      <w:pPr>
        <w:spacing w:line="360" w:lineRule="auto"/>
        <w:rPr>
          <w:rFonts w:ascii="宋体" w:hAnsi="宋体" w:eastAsia="宋体"/>
          <w:b/>
          <w:color w:val="auto"/>
          <w:sz w:val="32"/>
          <w:szCs w:val="22"/>
        </w:rPr>
      </w:pPr>
      <w:r>
        <w:rPr>
          <w:rFonts w:ascii="宋体" w:hAnsi="宋体" w:eastAsia="宋体" w:cs="等线 Light"/>
          <w:b/>
          <w:color w:val="auto"/>
          <w:sz w:val="32"/>
          <w:szCs w:val="22"/>
        </w:rPr>
        <w:t xml:space="preserve">      </w:t>
      </w:r>
    </w:p>
    <w:p w14:paraId="01C2E8D1">
      <w:pPr>
        <w:spacing w:line="360" w:lineRule="auto"/>
        <w:jc w:val="center"/>
        <w:rPr>
          <w:rFonts w:ascii="宋体" w:hAnsi="宋体" w:eastAsia="宋体"/>
          <w:color w:val="auto"/>
          <w:sz w:val="24"/>
          <w:szCs w:val="24"/>
        </w:rPr>
      </w:pPr>
      <w:r>
        <w:rPr>
          <w:rFonts w:hint="eastAsia" w:ascii="宋体" w:hAnsi="宋体" w:eastAsia="宋体" w:cs="黑体"/>
          <w:color w:val="auto"/>
          <w:sz w:val="32"/>
          <w:szCs w:val="24"/>
        </w:rPr>
        <w:t>合</w:t>
      </w:r>
      <w:r>
        <w:rPr>
          <w:rFonts w:ascii="宋体" w:hAnsi="宋体" w:eastAsia="宋体" w:cs="黑体"/>
          <w:color w:val="auto"/>
          <w:sz w:val="32"/>
          <w:szCs w:val="24"/>
        </w:rPr>
        <w:t xml:space="preserve">  </w:t>
      </w:r>
      <w:r>
        <w:rPr>
          <w:rFonts w:hint="eastAsia" w:ascii="宋体" w:hAnsi="宋体" w:eastAsia="宋体" w:cs="黑体"/>
          <w:color w:val="auto"/>
          <w:sz w:val="32"/>
          <w:szCs w:val="24"/>
        </w:rPr>
        <w:t>同</w:t>
      </w:r>
      <w:r>
        <w:rPr>
          <w:rFonts w:ascii="宋体" w:hAnsi="宋体" w:eastAsia="宋体" w:cs="黑体"/>
          <w:color w:val="auto"/>
          <w:sz w:val="32"/>
          <w:szCs w:val="24"/>
        </w:rPr>
        <w:t xml:space="preserve">  </w:t>
      </w:r>
      <w:r>
        <w:rPr>
          <w:rFonts w:hint="eastAsia" w:ascii="宋体" w:hAnsi="宋体" w:eastAsia="宋体" w:cs="黑体"/>
          <w:color w:val="auto"/>
          <w:sz w:val="32"/>
          <w:szCs w:val="24"/>
        </w:rPr>
        <w:t>书</w:t>
      </w:r>
    </w:p>
    <w:p w14:paraId="69B11A9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根据《中华人民共和国民法典》、《中华人民共和国招标投标法》、《中华人民共和国政府采购法》等法律、法规和相关规定，通过对</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项目（项目编号：</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）的招标并经评审专家评定，确定为乙方中标单位。</w:t>
      </w:r>
      <w:r>
        <w:rPr>
          <w:rFonts w:hint="eastAsia" w:ascii="宋体" w:hAnsi="宋体" w:cs="等线 Light"/>
          <w:color w:val="auto"/>
          <w:sz w:val="24"/>
          <w:szCs w:val="24"/>
          <w:u w:val="single"/>
          <w:lang w:val="en-US" w:eastAsia="zh-CN"/>
        </w:rPr>
        <w:t xml:space="preserve">        </w:t>
      </w:r>
      <w:r>
        <w:rPr>
          <w:rFonts w:hint="eastAsia" w:ascii="宋体" w:hAnsi="宋体" w:eastAsia="宋体" w:cs="等线 Light"/>
          <w:color w:val="auto"/>
          <w:sz w:val="24"/>
          <w:szCs w:val="24"/>
        </w:rPr>
        <w:t>（以下简称甲方）与</w:t>
      </w:r>
      <w:r>
        <w:rPr>
          <w:rFonts w:hint="eastAsia" w:ascii="宋体" w:hAnsi="宋体" w:eastAsia="宋体" w:cs="等线 Light"/>
          <w:color w:val="auto"/>
          <w:sz w:val="24"/>
          <w:szCs w:val="24"/>
          <w:u w:val="single"/>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（以下简称乙方）经友好协商，在平等自愿、诚实守信的原则下，同意按照下面条款签属本合同。</w:t>
      </w:r>
    </w:p>
    <w:p w14:paraId="20846D03">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ascii="宋体" w:hAnsi="宋体" w:eastAsia="宋体"/>
          <w:b/>
          <w:bCs/>
          <w:color w:val="auto"/>
          <w:sz w:val="24"/>
          <w:szCs w:val="24"/>
        </w:rPr>
        <w:t xml:space="preserve">   </w:t>
      </w:r>
      <w:r>
        <w:rPr>
          <w:rFonts w:hint="eastAsia" w:ascii="宋体" w:hAnsi="宋体" w:eastAsia="宋体" w:cs="楷体_GB2312"/>
          <w:b/>
          <w:bCs/>
          <w:color w:val="auto"/>
          <w:sz w:val="24"/>
          <w:szCs w:val="24"/>
        </w:rPr>
        <w:t>一、合同及相关文件</w:t>
      </w:r>
    </w:p>
    <w:p w14:paraId="37ACD26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下列文件构成本合同的组成部分，应该认为是一个整体，彼此相互解释，相互补充。组成合同的多个文件的优先支配地位的次序如下：</w:t>
      </w:r>
    </w:p>
    <w:p w14:paraId="3658E68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1</w:t>
      </w:r>
      <w:r>
        <w:rPr>
          <w:rFonts w:hint="eastAsia" w:ascii="宋体" w:hAnsi="宋体" w:eastAsia="宋体" w:cs="等线 Light"/>
          <w:color w:val="auto"/>
          <w:sz w:val="24"/>
          <w:szCs w:val="24"/>
        </w:rPr>
        <w:t>、本合同书</w:t>
      </w:r>
    </w:p>
    <w:p w14:paraId="25E402A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、中标通知书</w:t>
      </w:r>
    </w:p>
    <w:p w14:paraId="3F332E93">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、投标文件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含澄清文件</w:t>
      </w:r>
      <w:r>
        <w:rPr>
          <w:rFonts w:ascii="宋体" w:hAnsi="宋体" w:eastAsia="宋体" w:cs="等线 Light"/>
          <w:color w:val="auto"/>
          <w:sz w:val="24"/>
          <w:szCs w:val="24"/>
        </w:rPr>
        <w:t>)</w:t>
      </w:r>
    </w:p>
    <w:p w14:paraId="5B7A6485">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4</w:t>
      </w:r>
      <w:r>
        <w:rPr>
          <w:rFonts w:hint="eastAsia" w:ascii="宋体" w:hAnsi="宋体" w:eastAsia="宋体" w:cs="等线 Light"/>
          <w:color w:val="auto"/>
          <w:sz w:val="24"/>
          <w:szCs w:val="24"/>
        </w:rPr>
        <w:t>、招标文件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含招标文件补充通知</w:t>
      </w:r>
      <w:r>
        <w:rPr>
          <w:rFonts w:ascii="宋体" w:hAnsi="宋体" w:eastAsia="宋体" w:cs="等线 Light"/>
          <w:color w:val="auto"/>
          <w:sz w:val="24"/>
          <w:szCs w:val="24"/>
        </w:rPr>
        <w:t>)</w:t>
      </w:r>
    </w:p>
    <w:p w14:paraId="33CA7BEC">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二、合同货物、数量及价格明细</w:t>
      </w:r>
      <w:r>
        <w:rPr>
          <w:rFonts w:ascii="宋体" w:hAnsi="宋体" w:eastAsia="宋体"/>
          <w:b/>
          <w:bCs/>
          <w:color w:val="auto"/>
          <w:sz w:val="24"/>
          <w:szCs w:val="24"/>
        </w:rPr>
        <w:t>(</w:t>
      </w:r>
      <w:r>
        <w:rPr>
          <w:rFonts w:hint="eastAsia" w:ascii="宋体" w:hAnsi="宋体" w:eastAsia="宋体" w:cs="楷体_GB2312"/>
          <w:b/>
          <w:bCs/>
          <w:color w:val="auto"/>
          <w:sz w:val="24"/>
          <w:szCs w:val="24"/>
        </w:rPr>
        <w:t>必填</w:t>
      </w:r>
      <w:r>
        <w:rPr>
          <w:rFonts w:ascii="宋体" w:hAnsi="宋体" w:eastAsia="宋体"/>
          <w:b/>
          <w:bCs/>
          <w:color w:val="auto"/>
          <w:sz w:val="24"/>
          <w:szCs w:val="24"/>
        </w:rPr>
        <w:t>)</w:t>
      </w:r>
      <w:r>
        <w:rPr>
          <w:rFonts w:ascii="宋体" w:hAnsi="宋体" w:eastAsia="宋体"/>
          <w:color w:val="auto"/>
          <w:sz w:val="24"/>
          <w:szCs w:val="24"/>
        </w:rPr>
        <w:t xml:space="preserve"> </w:t>
      </w:r>
    </w:p>
    <w:p w14:paraId="6CA146B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币种单位：人民币元</w:t>
      </w:r>
    </w:p>
    <w:tbl>
      <w:tblPr>
        <w:tblStyle w:val="5"/>
        <w:tblW w:w="0" w:type="auto"/>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895"/>
        <w:gridCol w:w="1362"/>
      </w:tblGrid>
      <w:tr w14:paraId="1EAA30C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74BDA0A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35344021">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605523A5">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规格型号/服务内容</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73A5CB16">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单价</w:t>
            </w:r>
          </w:p>
        </w:tc>
        <w:tc>
          <w:tcPr>
            <w:tcW w:w="895" w:type="dxa"/>
            <w:tcBorders>
              <w:top w:val="outset" w:color="000000" w:sz="6" w:space="0"/>
              <w:left w:val="outset" w:color="000000" w:sz="6" w:space="0"/>
              <w:bottom w:val="outset" w:color="000000" w:sz="6" w:space="0"/>
              <w:right w:val="outset" w:color="000000" w:sz="6" w:space="0"/>
            </w:tcBorders>
            <w:noWrap w:val="0"/>
            <w:vAlign w:val="center"/>
          </w:tcPr>
          <w:p w14:paraId="57E2817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数量</w:t>
            </w:r>
            <w:r>
              <w:rPr>
                <w:rFonts w:ascii="宋体" w:hAnsi="宋体" w:eastAsia="宋体" w:cs="等线 Light"/>
                <w:color w:val="auto"/>
                <w:sz w:val="24"/>
                <w:szCs w:val="24"/>
              </w:rPr>
              <w:t>/</w:t>
            </w:r>
            <w:r>
              <w:rPr>
                <w:rFonts w:hint="eastAsia" w:ascii="宋体" w:hAnsi="宋体" w:eastAsia="宋体" w:cs="等线 Light"/>
                <w:color w:val="auto"/>
                <w:sz w:val="24"/>
                <w:szCs w:val="24"/>
              </w:rPr>
              <w:t>单位</w:t>
            </w:r>
          </w:p>
        </w:tc>
        <w:tc>
          <w:tcPr>
            <w:tcW w:w="1362" w:type="dxa"/>
            <w:tcBorders>
              <w:top w:val="outset" w:color="000000" w:sz="6" w:space="0"/>
              <w:left w:val="outset" w:color="000000" w:sz="6" w:space="0"/>
              <w:bottom w:val="outset" w:color="000000" w:sz="6" w:space="0"/>
            </w:tcBorders>
            <w:noWrap w:val="0"/>
            <w:vAlign w:val="center"/>
          </w:tcPr>
          <w:p w14:paraId="4E832130">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小计</w:t>
            </w:r>
          </w:p>
        </w:tc>
      </w:tr>
      <w:tr w14:paraId="0D901FF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0FA596C7">
            <w:pPr>
              <w:spacing w:line="360" w:lineRule="auto"/>
              <w:jc w:val="left"/>
              <w:rPr>
                <w:rFonts w:ascii="宋体" w:hAnsi="宋体" w:eastAsia="宋体"/>
                <w:color w:val="auto"/>
                <w:sz w:val="24"/>
                <w:szCs w:val="24"/>
              </w:rPr>
            </w:pPr>
            <w:r>
              <w:rPr>
                <w:rFonts w:ascii="宋体" w:hAnsi="宋体" w:eastAsia="宋体" w:cs="等线 Light"/>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59F72A1D">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26C96CFE">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23B2648">
            <w:pPr>
              <w:spacing w:line="360" w:lineRule="auto"/>
              <w:jc w:val="left"/>
              <w:rPr>
                <w:rFonts w:ascii="宋体" w:hAnsi="宋体" w:eastAsia="宋体"/>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6FC862E9">
            <w:pPr>
              <w:spacing w:line="360" w:lineRule="auto"/>
              <w:jc w:val="left"/>
              <w:rPr>
                <w:rFonts w:ascii="宋体" w:hAnsi="宋体" w:eastAsia="宋体"/>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3B3E44E3">
            <w:pPr>
              <w:spacing w:line="360" w:lineRule="auto"/>
              <w:jc w:val="left"/>
              <w:rPr>
                <w:rFonts w:ascii="宋体" w:hAnsi="宋体" w:eastAsia="宋体"/>
                <w:color w:val="auto"/>
                <w:sz w:val="24"/>
                <w:szCs w:val="24"/>
              </w:rPr>
            </w:pPr>
          </w:p>
        </w:tc>
      </w:tr>
      <w:tr w14:paraId="57CCFCD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2EC486B">
            <w:pPr>
              <w:spacing w:line="360" w:lineRule="auto"/>
              <w:jc w:val="left"/>
              <w:rPr>
                <w:rFonts w:ascii="宋体" w:hAnsi="宋体" w:eastAsia="宋体" w:cs="等线 Light"/>
                <w:color w:val="auto"/>
                <w:sz w:val="24"/>
                <w:szCs w:val="24"/>
              </w:rPr>
            </w:pPr>
            <w:r>
              <w:rPr>
                <w:rFonts w:hint="eastAsia" w:ascii="宋体" w:hAnsi="宋体" w:eastAsia="宋体" w:cs="等线 Light"/>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5BEE4FDA">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68A9C1D">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307B7658">
            <w:pPr>
              <w:spacing w:line="360" w:lineRule="auto"/>
              <w:jc w:val="left"/>
              <w:rPr>
                <w:rFonts w:ascii="宋体" w:hAnsi="宋体" w:eastAsia="宋体"/>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386C18B9">
            <w:pPr>
              <w:spacing w:line="360" w:lineRule="auto"/>
              <w:jc w:val="left"/>
              <w:rPr>
                <w:rFonts w:ascii="宋体" w:hAnsi="宋体" w:eastAsia="宋体"/>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0C1428EF">
            <w:pPr>
              <w:spacing w:line="360" w:lineRule="auto"/>
              <w:jc w:val="left"/>
              <w:rPr>
                <w:rFonts w:ascii="宋体" w:hAnsi="宋体" w:eastAsia="宋体"/>
                <w:color w:val="auto"/>
                <w:sz w:val="24"/>
                <w:szCs w:val="24"/>
              </w:rPr>
            </w:pPr>
          </w:p>
        </w:tc>
      </w:tr>
      <w:tr w14:paraId="1ED50CF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389A3AD7">
            <w:pPr>
              <w:spacing w:line="360" w:lineRule="auto"/>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7DB64066">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256EFF7F">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F056A10">
            <w:pPr>
              <w:spacing w:line="360" w:lineRule="auto"/>
              <w:jc w:val="left"/>
              <w:rPr>
                <w:rFonts w:ascii="宋体" w:hAnsi="宋体" w:eastAsia="宋体"/>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38208B91">
            <w:pPr>
              <w:spacing w:line="360" w:lineRule="auto"/>
              <w:jc w:val="left"/>
              <w:rPr>
                <w:rFonts w:ascii="宋体" w:hAnsi="宋体" w:eastAsia="宋体"/>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2394B05E">
            <w:pPr>
              <w:spacing w:line="360" w:lineRule="auto"/>
              <w:jc w:val="left"/>
              <w:rPr>
                <w:rFonts w:ascii="宋体" w:hAnsi="宋体" w:eastAsia="宋体"/>
                <w:color w:val="auto"/>
                <w:sz w:val="24"/>
                <w:szCs w:val="24"/>
              </w:rPr>
            </w:pPr>
          </w:p>
        </w:tc>
      </w:tr>
      <w:tr w14:paraId="290DE23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22DA7237">
            <w:pPr>
              <w:spacing w:line="360" w:lineRule="auto"/>
              <w:jc w:val="left"/>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378ED28F">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452FC3F3">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15559ED9">
            <w:pPr>
              <w:spacing w:line="360" w:lineRule="auto"/>
              <w:jc w:val="left"/>
              <w:rPr>
                <w:rFonts w:ascii="宋体" w:hAnsi="宋体" w:eastAsia="宋体"/>
                <w:color w:val="auto"/>
                <w:sz w:val="24"/>
                <w:szCs w:val="24"/>
              </w:rPr>
            </w:pPr>
          </w:p>
        </w:tc>
        <w:tc>
          <w:tcPr>
            <w:tcW w:w="895" w:type="dxa"/>
            <w:tcBorders>
              <w:top w:val="single" w:color="auto" w:sz="4" w:space="0"/>
              <w:left w:val="outset" w:color="000000" w:sz="6" w:space="0"/>
              <w:bottom w:val="single" w:color="auto" w:sz="4" w:space="0"/>
              <w:right w:val="outset" w:color="000000" w:sz="6" w:space="0"/>
            </w:tcBorders>
            <w:noWrap w:val="0"/>
            <w:vAlign w:val="center"/>
          </w:tcPr>
          <w:p w14:paraId="75D7A351">
            <w:pPr>
              <w:spacing w:line="360" w:lineRule="auto"/>
              <w:jc w:val="left"/>
              <w:rPr>
                <w:rFonts w:ascii="宋体" w:hAnsi="宋体" w:eastAsia="宋体"/>
                <w:color w:val="auto"/>
                <w:sz w:val="24"/>
                <w:szCs w:val="24"/>
              </w:rPr>
            </w:pPr>
          </w:p>
        </w:tc>
        <w:tc>
          <w:tcPr>
            <w:tcW w:w="1362" w:type="dxa"/>
            <w:tcBorders>
              <w:top w:val="single" w:color="auto" w:sz="4" w:space="0"/>
              <w:left w:val="outset" w:color="000000" w:sz="6" w:space="0"/>
              <w:bottom w:val="single" w:color="auto" w:sz="4" w:space="0"/>
            </w:tcBorders>
            <w:noWrap w:val="0"/>
            <w:vAlign w:val="center"/>
          </w:tcPr>
          <w:p w14:paraId="47C2B810">
            <w:pPr>
              <w:spacing w:line="360" w:lineRule="auto"/>
              <w:jc w:val="left"/>
              <w:rPr>
                <w:rFonts w:ascii="宋体" w:hAnsi="宋体" w:eastAsia="宋体"/>
                <w:color w:val="auto"/>
                <w:sz w:val="24"/>
                <w:szCs w:val="24"/>
              </w:rPr>
            </w:pPr>
          </w:p>
        </w:tc>
      </w:tr>
      <w:tr w14:paraId="29B4700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65DD8939">
            <w:pPr>
              <w:spacing w:line="360" w:lineRule="auto"/>
              <w:jc w:val="left"/>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5FBB7F8A">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5D3AEDDD">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2CE429E6">
            <w:pPr>
              <w:spacing w:line="360" w:lineRule="auto"/>
              <w:jc w:val="left"/>
              <w:rPr>
                <w:rFonts w:ascii="宋体" w:hAnsi="宋体" w:eastAsia="宋体"/>
                <w:color w:val="auto"/>
                <w:sz w:val="24"/>
                <w:szCs w:val="24"/>
              </w:rPr>
            </w:pPr>
          </w:p>
        </w:tc>
        <w:tc>
          <w:tcPr>
            <w:tcW w:w="895" w:type="dxa"/>
            <w:tcBorders>
              <w:top w:val="single" w:color="auto" w:sz="4" w:space="0"/>
              <w:left w:val="outset" w:color="000000" w:sz="6" w:space="0"/>
              <w:bottom w:val="outset" w:color="000000" w:sz="6" w:space="0"/>
              <w:right w:val="outset" w:color="000000" w:sz="6" w:space="0"/>
            </w:tcBorders>
            <w:noWrap w:val="0"/>
            <w:vAlign w:val="center"/>
          </w:tcPr>
          <w:p w14:paraId="55E210D7">
            <w:pPr>
              <w:spacing w:line="360" w:lineRule="auto"/>
              <w:jc w:val="left"/>
              <w:rPr>
                <w:rFonts w:ascii="宋体" w:hAnsi="宋体" w:eastAsia="宋体"/>
                <w:color w:val="auto"/>
                <w:sz w:val="24"/>
                <w:szCs w:val="24"/>
              </w:rPr>
            </w:pPr>
          </w:p>
        </w:tc>
        <w:tc>
          <w:tcPr>
            <w:tcW w:w="1362" w:type="dxa"/>
            <w:tcBorders>
              <w:top w:val="single" w:color="auto" w:sz="4" w:space="0"/>
              <w:left w:val="outset" w:color="000000" w:sz="6" w:space="0"/>
              <w:bottom w:val="outset" w:color="000000" w:sz="6" w:space="0"/>
            </w:tcBorders>
            <w:noWrap w:val="0"/>
            <w:vAlign w:val="center"/>
          </w:tcPr>
          <w:p w14:paraId="0CA3AF97">
            <w:pPr>
              <w:spacing w:line="360" w:lineRule="auto"/>
              <w:jc w:val="left"/>
              <w:rPr>
                <w:rFonts w:ascii="宋体" w:hAnsi="宋体" w:eastAsia="宋体"/>
                <w:color w:val="auto"/>
                <w:sz w:val="24"/>
                <w:szCs w:val="24"/>
              </w:rPr>
            </w:pPr>
          </w:p>
        </w:tc>
      </w:tr>
      <w:tr w14:paraId="28B9101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3836083E">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0F7582D0">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大写：</w:t>
            </w:r>
          </w:p>
        </w:tc>
      </w:tr>
      <w:tr w14:paraId="1157489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5E30431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74CE1E41">
            <w:pPr>
              <w:spacing w:line="360" w:lineRule="auto"/>
              <w:jc w:val="left"/>
              <w:rPr>
                <w:rFonts w:ascii="宋体" w:hAnsi="宋体" w:eastAsia="宋体"/>
                <w:color w:val="auto"/>
                <w:sz w:val="24"/>
                <w:szCs w:val="24"/>
              </w:rPr>
            </w:pPr>
            <w:r>
              <w:rPr>
                <w:rFonts w:ascii="宋体" w:hAnsi="宋体" w:eastAsia="宋体"/>
                <w:color w:val="auto"/>
                <w:sz w:val="24"/>
                <w:szCs w:val="24"/>
              </w:rPr>
              <w:t> </w:t>
            </w:r>
          </w:p>
        </w:tc>
      </w:tr>
    </w:tbl>
    <w:p w14:paraId="406D1427">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rPr>
      </w:pPr>
      <w:r>
        <w:rPr>
          <w:rFonts w:hint="eastAsia" w:ascii="宋体" w:hAnsi="宋体" w:eastAsia="宋体" w:cs="楷体_GB2312"/>
          <w:b/>
          <w:bCs/>
          <w:color w:val="auto"/>
          <w:sz w:val="24"/>
          <w:szCs w:val="24"/>
        </w:rPr>
        <w:t>注：按投标文件响应填写。</w:t>
      </w:r>
    </w:p>
    <w:p w14:paraId="64197660">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三、合同总价</w:t>
      </w:r>
    </w:p>
    <w:p w14:paraId="3E69CE50">
      <w:pPr>
        <w:widowControl/>
        <w:tabs>
          <w:tab w:val="left" w:pos="1620"/>
        </w:tabs>
        <w:wordWrap w:val="0"/>
        <w:spacing w:line="360" w:lineRule="auto"/>
        <w:ind w:firstLine="360" w:firstLineChars="150"/>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本合同总价为人民币大写</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14:paraId="23691676">
      <w:pPr>
        <w:widowControl/>
        <w:tabs>
          <w:tab w:val="left" w:pos="1620"/>
        </w:tabs>
        <w:wordWrap w:val="0"/>
        <w:spacing w:line="360" w:lineRule="auto"/>
        <w:ind w:firstLine="360" w:firstLineChars="150"/>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四、付款方式</w:t>
      </w:r>
    </w:p>
    <w:p w14:paraId="53C56A26">
      <w:pPr>
        <w:widowControl/>
        <w:tabs>
          <w:tab w:val="left" w:pos="1620"/>
        </w:tabs>
        <w:wordWrap w:val="0"/>
        <w:spacing w:line="360" w:lineRule="auto"/>
        <w:ind w:firstLine="360" w:firstLineChars="150"/>
        <w:jc w:val="left"/>
        <w:rPr>
          <w:rFonts w:ascii="宋体" w:hAnsi="宋体" w:eastAsia="宋体"/>
          <w:color w:val="auto"/>
          <w:sz w:val="24"/>
          <w:szCs w:val="24"/>
        </w:rPr>
      </w:pPr>
      <w:r>
        <w:rPr>
          <w:rFonts w:ascii="宋体" w:hAnsi="宋体" w:eastAsia="宋体"/>
          <w:color w:val="auto"/>
          <w:sz w:val="24"/>
          <w:szCs w:val="24"/>
        </w:rPr>
        <w:t>  </w:t>
      </w:r>
      <w:r>
        <w:rPr>
          <w:rFonts w:hint="eastAsia" w:ascii="宋体" w:hAnsi="宋体" w:eastAsia="宋体"/>
          <w:color w:val="auto"/>
          <w:sz w:val="24"/>
          <w:szCs w:val="24"/>
        </w:rPr>
        <w:t>1、</w:t>
      </w:r>
    </w:p>
    <w:p w14:paraId="4D4E426F">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2、银行信息</w:t>
      </w:r>
    </w:p>
    <w:p w14:paraId="2917E61E">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甲方名称：</w:t>
      </w:r>
    </w:p>
    <w:p w14:paraId="560137E6">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开户银行：</w:t>
      </w:r>
      <w:r>
        <w:rPr>
          <w:rFonts w:ascii="宋体" w:hAnsi="宋体" w:eastAsia="宋体" w:cs="等线 Light"/>
          <w:color w:val="auto"/>
          <w:sz w:val="24"/>
          <w:szCs w:val="24"/>
        </w:rPr>
        <w:t xml:space="preserve"> </w:t>
      </w:r>
    </w:p>
    <w:p w14:paraId="02459ACF">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开户行号</w:t>
      </w:r>
      <w:r>
        <w:rPr>
          <w:rFonts w:ascii="宋体" w:hAnsi="宋体" w:eastAsia="宋体" w:cs="等线 Light"/>
          <w:color w:val="auto"/>
          <w:sz w:val="24"/>
          <w:szCs w:val="24"/>
        </w:rPr>
        <w:t>:</w:t>
      </w:r>
    </w:p>
    <w:p w14:paraId="59F72A58">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银行账号：</w:t>
      </w:r>
    </w:p>
    <w:p w14:paraId="598895B5">
      <w:pPr>
        <w:spacing w:line="360" w:lineRule="auto"/>
        <w:ind w:left="719" w:leftChars="228" w:hanging="240" w:hangingChars="100"/>
        <w:jc w:val="left"/>
        <w:rPr>
          <w:rFonts w:hint="eastAsia" w:ascii="宋体" w:hAnsi="宋体" w:eastAsia="宋体" w:cs="等线 Light"/>
          <w:color w:val="auto"/>
          <w:sz w:val="24"/>
          <w:szCs w:val="24"/>
          <w:lang w:eastAsia="zh-CN"/>
        </w:rPr>
      </w:pPr>
    </w:p>
    <w:p w14:paraId="2A950F27">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乙方名称：</w:t>
      </w:r>
    </w:p>
    <w:p w14:paraId="1CBFE985">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开户银行：</w:t>
      </w:r>
    </w:p>
    <w:p w14:paraId="5CC823F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开户行号：</w:t>
      </w:r>
    </w:p>
    <w:p w14:paraId="32B82A77">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银行账号：</w:t>
      </w:r>
    </w:p>
    <w:p w14:paraId="430E5AF6">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五、交付时间及交货地点</w:t>
      </w:r>
    </w:p>
    <w:p w14:paraId="021068B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、交付时间：合同签订后    日历日。</w:t>
      </w:r>
    </w:p>
    <w:p w14:paraId="7BFC7C86">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、交付地点：甲方指定地点。</w:t>
      </w:r>
    </w:p>
    <w:p w14:paraId="71F1043C">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 xml:space="preserve"> </w:t>
      </w:r>
      <w:r>
        <w:rPr>
          <w:rFonts w:ascii="宋体" w:hAnsi="宋体" w:eastAsia="宋体" w:cs="等线 Light"/>
          <w:color w:val="auto"/>
          <w:sz w:val="24"/>
          <w:szCs w:val="24"/>
        </w:rPr>
        <w:t>3</w:t>
      </w:r>
      <w:r>
        <w:rPr>
          <w:rFonts w:hint="eastAsia" w:ascii="宋体" w:hAnsi="宋体" w:eastAsia="宋体" w:cs="等线 Light"/>
          <w:color w:val="auto"/>
          <w:sz w:val="24"/>
          <w:szCs w:val="24"/>
        </w:rPr>
        <w:t>、交付方式：现场交付。</w:t>
      </w:r>
    </w:p>
    <w:p w14:paraId="79CF05F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六、合同验收</w:t>
      </w:r>
    </w:p>
    <w:p w14:paraId="3B76C27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、乙方提供的货物或服务应符合国家标准、行业标准、招投标文件及本合同约定，乙方提供的货物，应当是符合甲方要求的、全新的、经出厂检验合格的、获得国家销售许可的合格产品。</w:t>
      </w:r>
    </w:p>
    <w:p w14:paraId="75D42593">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、全部货物运抵现场后，乙方应当于</w:t>
      </w:r>
      <w:r>
        <w:rPr>
          <w:rFonts w:ascii="宋体" w:hAnsi="宋体" w:eastAsia="宋体" w:cs="等线 Light"/>
          <w:color w:val="auto"/>
          <w:sz w:val="24"/>
          <w:szCs w:val="24"/>
        </w:rPr>
        <w:t>2</w:t>
      </w:r>
      <w:r>
        <w:rPr>
          <w:rFonts w:hint="eastAsia" w:ascii="宋体" w:hAnsi="宋体" w:eastAsia="宋体" w:cs="等线 Light"/>
          <w:color w:val="auto"/>
          <w:sz w:val="24"/>
          <w:szCs w:val="24"/>
        </w:rPr>
        <w:t>日内通知甲方验收，甲方应在接到乙方通知后</w:t>
      </w:r>
      <w:r>
        <w:rPr>
          <w:rFonts w:hint="eastAsia" w:ascii="宋体" w:hAnsi="宋体" w:cs="等线 Light"/>
          <w:color w:val="auto"/>
          <w:sz w:val="24"/>
          <w:szCs w:val="24"/>
          <w:u w:val="single"/>
          <w:lang w:val="en-US" w:eastAsia="zh-CN"/>
        </w:rPr>
        <w:t xml:space="preserve">  </w:t>
      </w:r>
      <w:r>
        <w:rPr>
          <w:rFonts w:hint="eastAsia" w:ascii="宋体" w:hAnsi="宋体" w:eastAsia="宋体" w:cs="等线 Light"/>
          <w:color w:val="auto"/>
          <w:sz w:val="24"/>
          <w:szCs w:val="24"/>
        </w:rPr>
        <w:t>个工作日内对货物进行验收，即为到货验收。由甲方对货物及乙方服务、履行本合同情况（有无违约、有无侵害甲方权益等事项）进行最终验收检验。验收或检验不合格的，甲方有权要求乙方限期履行合同义务、无偿给予更换、维修、退货、解除本合同及采取其他有效补救措施，乙方同意服从。</w:t>
      </w:r>
    </w:p>
    <w:p w14:paraId="11D88CF1">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验收和检验应当按照甲方要求及安排进行，乙方配合甲方做好验收工作，本合同货物及服务应当符合国家规定的标准以及行业标准。若发现交付货物或完成的服务不符合要求或存在质量问题，乙方应当按照甲方要求采取有效补救措施，如果超过甲方规定的期限仍未有效解决的，甲方有权要求乙方支付合同总价</w:t>
      </w:r>
      <w:r>
        <w:rPr>
          <w:rFonts w:ascii="宋体" w:hAnsi="宋体" w:eastAsia="宋体" w:cs="等线 Light"/>
          <w:color w:val="auto"/>
          <w:sz w:val="24"/>
          <w:szCs w:val="24"/>
        </w:rPr>
        <w:t>5%</w:t>
      </w:r>
      <w:r>
        <w:rPr>
          <w:rFonts w:hint="eastAsia" w:ascii="宋体" w:hAnsi="宋体" w:eastAsia="宋体" w:cs="等线 Light"/>
          <w:color w:val="auto"/>
          <w:sz w:val="24"/>
          <w:szCs w:val="24"/>
        </w:rPr>
        <w:t>的违约金，且甲方有权要求乙方按照本合同第八条相关约定承担违约赔偿责任。</w:t>
      </w:r>
    </w:p>
    <w:p w14:paraId="4A6663AF">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七、售后服务</w:t>
      </w:r>
    </w:p>
    <w:p w14:paraId="64EF5F16">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乙方必须按照招标要求及投标应答承诺，与甲方签订售后服务协议。</w:t>
      </w:r>
    </w:p>
    <w:p w14:paraId="5EC5FFD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八、违约与赔偿</w:t>
      </w:r>
    </w:p>
    <w:p w14:paraId="5274B664">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、乙方逾期履行本合同约定义务时，每逾期一日，应当按本合同总价的</w:t>
      </w:r>
      <w:r>
        <w:rPr>
          <w:rFonts w:ascii="宋体" w:hAnsi="宋体" w:eastAsia="宋体" w:cs="等线 Light"/>
          <w:color w:val="auto"/>
          <w:sz w:val="24"/>
          <w:szCs w:val="24"/>
        </w:rPr>
        <w:t>3</w:t>
      </w:r>
      <w:r>
        <w:rPr>
          <w:rFonts w:hint="eastAsia" w:ascii="宋体" w:hAnsi="宋体" w:eastAsia="宋体" w:cs="等线 Light"/>
          <w:color w:val="auto"/>
          <w:sz w:val="24"/>
          <w:szCs w:val="24"/>
        </w:rPr>
        <w:t>‰向甲方支付履约逾期违约金；逾期超过</w:t>
      </w:r>
      <w:r>
        <w:rPr>
          <w:rFonts w:ascii="宋体" w:hAnsi="宋体" w:eastAsia="宋体" w:cs="等线 Light"/>
          <w:color w:val="auto"/>
          <w:sz w:val="24"/>
          <w:szCs w:val="24"/>
        </w:rPr>
        <w:t>7</w:t>
      </w:r>
      <w:r>
        <w:rPr>
          <w:rFonts w:hint="eastAsia" w:ascii="宋体" w:hAnsi="宋体" w:eastAsia="宋体" w:cs="等线 Light"/>
          <w:color w:val="auto"/>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14:paraId="0670C02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14:paraId="5D5B3F45">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、甲方有权随时将履约保证金等额抵扣乙方应支付的违约金或经济损失，剩余违约金或经济损失由乙方另行支付。乙方应当自履约保证金抵扣发生之日起二日内向甲方补足履约保证金。</w:t>
      </w:r>
    </w:p>
    <w:p w14:paraId="0D7A138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4</w:t>
      </w:r>
      <w:r>
        <w:rPr>
          <w:rFonts w:hint="eastAsia" w:ascii="宋体" w:hAnsi="宋体" w:eastAsia="宋体" w:cs="等线 Light"/>
          <w:color w:val="auto"/>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color w:val="auto"/>
          <w:sz w:val="24"/>
          <w:szCs w:val="24"/>
        </w:rPr>
        <w:t>10</w:t>
      </w:r>
      <w:r>
        <w:rPr>
          <w:rFonts w:hint="eastAsia" w:ascii="宋体" w:hAnsi="宋体" w:eastAsia="宋体" w:cs="等线 Light"/>
          <w:color w:val="auto"/>
          <w:sz w:val="24"/>
          <w:szCs w:val="24"/>
        </w:rPr>
        <w:t>倍的违约赔偿金。</w:t>
      </w:r>
    </w:p>
    <w:p w14:paraId="64D1E1B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5</w:t>
      </w:r>
      <w:r>
        <w:rPr>
          <w:rFonts w:hint="eastAsia" w:ascii="宋体" w:hAnsi="宋体" w:eastAsia="宋体" w:cs="等线 Light"/>
          <w:color w:val="auto"/>
          <w:sz w:val="24"/>
          <w:szCs w:val="24"/>
        </w:rPr>
        <w:t>、乙方向甲方开具等额、真实、合法的有效发票，若乙方提供的发票存在虚假、过期、失效或违法等情形的，乙方向甲方支付合同总价双倍的违约金并承担由此而发生的全部违约责任。</w:t>
      </w:r>
    </w:p>
    <w:p w14:paraId="0BD86D59">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九、履约保证金</w:t>
      </w:r>
    </w:p>
    <w:p w14:paraId="4C3B545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、签订本合同后</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 xml:space="preserve"> 个工作日内，乙方应以银行汇款的方式向甲方支付本合同总额 </w:t>
      </w:r>
      <w:r>
        <w:rPr>
          <w:rFonts w:ascii="宋体" w:hAnsi="宋体" w:eastAsia="宋体" w:cs="等线 Light"/>
          <w:color w:val="auto"/>
          <w:sz w:val="24"/>
          <w:szCs w:val="24"/>
          <w:u w:val="single"/>
        </w:rPr>
        <w:t xml:space="preserve">  % </w:t>
      </w:r>
      <w:r>
        <w:rPr>
          <w:rFonts w:hint="eastAsia" w:ascii="宋体" w:hAnsi="宋体" w:eastAsia="宋体" w:cs="等线 Light"/>
          <w:color w:val="auto"/>
          <w:sz w:val="24"/>
          <w:szCs w:val="24"/>
        </w:rPr>
        <w:t>的履约保证金，共计人民币大写（￥</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），乙方付款时应当注明履约保证金项目名称及合同编号。</w:t>
      </w:r>
    </w:p>
    <w:p w14:paraId="3763232C">
      <w:pPr>
        <w:spacing w:line="360" w:lineRule="auto"/>
        <w:jc w:val="left"/>
        <w:rPr>
          <w:rFonts w:ascii="宋体" w:hAnsi="宋体" w:eastAsia="宋体" w:cs="等线 Light"/>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、履约保证金的扣除和退还时间。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如果乙方有任何违约行为，甲方有权扣除履约保证金。乙方未能通过甲方最终验收检验的，甲方有权将退还履约保证金的时间将予以顺延。</w:t>
      </w:r>
    </w:p>
    <w:p w14:paraId="3BC79E2D">
      <w:pPr>
        <w:spacing w:line="360" w:lineRule="auto"/>
        <w:jc w:val="left"/>
        <w:rPr>
          <w:rFonts w:ascii="宋体" w:hAnsi="宋体" w:eastAsia="宋体" w:cs="等线 Light"/>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、验收合格后，履约保证金自动转为质保金。</w:t>
      </w:r>
    </w:p>
    <w:p w14:paraId="03E6352D">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4</w:t>
      </w:r>
      <w:r>
        <w:rPr>
          <w:rFonts w:hint="eastAsia" w:ascii="宋体" w:hAnsi="宋体" w:eastAsia="宋体" w:cs="等线 Light"/>
          <w:color w:val="auto"/>
          <w:sz w:val="24"/>
          <w:szCs w:val="24"/>
        </w:rPr>
        <w:t>、验收合格满1年后，质保金无息退还。</w:t>
      </w:r>
    </w:p>
    <w:p w14:paraId="089D92C5">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十、保密责任</w:t>
      </w:r>
    </w:p>
    <w:p w14:paraId="6615A927">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14:paraId="0A3F2F65">
      <w:pPr>
        <w:spacing w:line="360" w:lineRule="auto"/>
        <w:jc w:val="left"/>
        <w:rPr>
          <w:rFonts w:hint="eastAsia" w:ascii="宋体" w:hAnsi="宋体" w:eastAsia="宋体"/>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、乙方在本合同签订、履行期间及终止后，无条件负有本合同约定的保密义务。</w:t>
      </w:r>
    </w:p>
    <w:p w14:paraId="0CE7752C">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十一、特别约定</w:t>
      </w:r>
    </w:p>
    <w:p w14:paraId="1EC3B79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交货时将发票、产品合格证书、产品说明书、使用说明书</w:t>
      </w:r>
      <w:bookmarkStart w:id="0" w:name="_GoBack"/>
      <w:bookmarkEnd w:id="0"/>
      <w:r>
        <w:rPr>
          <w:rFonts w:hint="eastAsia" w:ascii="宋体" w:hAnsi="宋体" w:eastAsia="宋体" w:cs="等线 Light"/>
          <w:color w:val="auto"/>
          <w:sz w:val="24"/>
          <w:szCs w:val="24"/>
        </w:rPr>
        <w:t>、按照每个品种型号各</w:t>
      </w:r>
      <w:r>
        <w:rPr>
          <w:rFonts w:ascii="宋体" w:hAnsi="宋体" w:eastAsia="宋体" w:cs="等线 Light"/>
          <w:color w:val="auto"/>
          <w:sz w:val="24"/>
          <w:szCs w:val="24"/>
        </w:rPr>
        <w:t>1</w:t>
      </w:r>
      <w:r>
        <w:rPr>
          <w:rFonts w:hint="eastAsia" w:ascii="宋体" w:hAnsi="宋体" w:eastAsia="宋体" w:cs="等线 Light"/>
          <w:color w:val="auto"/>
          <w:sz w:val="24"/>
          <w:szCs w:val="24"/>
        </w:rPr>
        <w:t>份、单独整理提交。</w:t>
      </w:r>
    </w:p>
    <w:p w14:paraId="0B716453">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十二、争议解决</w:t>
      </w:r>
    </w:p>
    <w:p w14:paraId="2A53F753">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因本合同产生的争议，由双方协商解决；协商不成的，任何一方均有权向本合同签订地有管辖权的人民法院提起诉讼。</w:t>
      </w:r>
    </w:p>
    <w:p w14:paraId="03503935">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十三、合同签署地</w:t>
      </w:r>
    </w:p>
    <w:p w14:paraId="68309C2F">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本合同签订地为：甲方所在地。</w:t>
      </w:r>
    </w:p>
    <w:p w14:paraId="4A9C8031">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十四、不可抗力</w:t>
      </w:r>
    </w:p>
    <w:p w14:paraId="57A4C28E">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14:paraId="7C11CCF5">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2</w:t>
      </w:r>
      <w:r>
        <w:rPr>
          <w:rFonts w:hint="eastAsia" w:ascii="宋体" w:hAnsi="宋体" w:eastAsia="宋体" w:cs="等线 Light"/>
          <w:color w:val="auto"/>
          <w:sz w:val="24"/>
          <w:szCs w:val="24"/>
        </w:rPr>
        <w:t>、受不可抗力影响的一方应在不可抗力发生后，以最快的方式在最短的时间内通知另一方，并在不可抗力发生后</w:t>
      </w:r>
      <w:r>
        <w:rPr>
          <w:rFonts w:ascii="宋体" w:hAnsi="宋体" w:eastAsia="宋体" w:cs="等线 Light"/>
          <w:color w:val="auto"/>
          <w:sz w:val="24"/>
          <w:szCs w:val="24"/>
        </w:rPr>
        <w:t>10</w:t>
      </w:r>
      <w:r>
        <w:rPr>
          <w:rFonts w:hint="eastAsia" w:ascii="宋体" w:hAnsi="宋体" w:eastAsia="宋体" w:cs="等线 Light"/>
          <w:color w:val="auto"/>
          <w:sz w:val="24"/>
          <w:szCs w:val="24"/>
        </w:rPr>
        <w:t>日内，将有关部门出具的证明文件直接送达另一方。</w:t>
      </w:r>
    </w:p>
    <w:p w14:paraId="1C6D0D94">
      <w:pPr>
        <w:spacing w:line="360" w:lineRule="auto"/>
        <w:jc w:val="left"/>
        <w:rPr>
          <w:rFonts w:hint="eastAsia" w:ascii="宋体" w:hAnsi="宋体" w:eastAsia="宋体"/>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、如果不可抗力影响导致合同迟延履行</w:t>
      </w:r>
      <w:r>
        <w:rPr>
          <w:rFonts w:ascii="宋体" w:hAnsi="宋体" w:eastAsia="宋体" w:cs="等线 Light"/>
          <w:color w:val="auto"/>
          <w:sz w:val="24"/>
          <w:szCs w:val="24"/>
        </w:rPr>
        <w:t>20日</w:t>
      </w:r>
      <w:r>
        <w:rPr>
          <w:rFonts w:hint="eastAsia" w:ascii="宋体" w:hAnsi="宋体" w:eastAsia="宋体" w:cs="等线 Light"/>
          <w:color w:val="auto"/>
          <w:sz w:val="24"/>
          <w:szCs w:val="24"/>
        </w:rPr>
        <w:t>以上的，甲乙双方应友好协商解决，协商不成的，按照甲方要求执行。</w:t>
      </w:r>
    </w:p>
    <w:p w14:paraId="175C7BE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十五、合同的生效</w:t>
      </w:r>
    </w:p>
    <w:p w14:paraId="5F12EBB4">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s="等线 Light"/>
          <w:color w:val="auto"/>
          <w:sz w:val="24"/>
          <w:szCs w:val="24"/>
        </w:rPr>
        <w:t>本合同经双方签字并盖章后生效。本合同一式  份，甲方持  份，乙方持  份，具有同等法律效力。</w:t>
      </w:r>
    </w:p>
    <w:p w14:paraId="3A520B72">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十六、质保期</w:t>
      </w:r>
    </w:p>
    <w:p w14:paraId="5FD732BD">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 xml:space="preserve">质量保证期：验收合格之日起 </w:t>
      </w:r>
      <w:r>
        <w:rPr>
          <w:rFonts w:hint="eastAsia" w:ascii="宋体" w:hAnsi="宋体" w:eastAsia="宋体" w:cs="等线 Light"/>
          <w:color w:val="auto"/>
          <w:sz w:val="24"/>
          <w:szCs w:val="24"/>
          <w:u w:val="single"/>
        </w:rPr>
        <w:t xml:space="preserve">   年</w:t>
      </w:r>
      <w:r>
        <w:rPr>
          <w:rFonts w:hint="eastAsia" w:ascii="宋体" w:hAnsi="宋体" w:eastAsia="宋体" w:cs="等线 Light"/>
          <w:color w:val="auto"/>
          <w:sz w:val="24"/>
          <w:szCs w:val="24"/>
        </w:rPr>
        <w:t>。</w:t>
      </w:r>
    </w:p>
    <w:p w14:paraId="59A6B4C7">
      <w:pPr>
        <w:spacing w:line="360" w:lineRule="auto"/>
        <w:jc w:val="left"/>
        <w:rPr>
          <w:rFonts w:hint="eastAsia" w:ascii="宋体" w:hAnsi="宋体" w:eastAsia="宋体"/>
          <w:color w:val="auto"/>
          <w:sz w:val="24"/>
          <w:szCs w:val="24"/>
        </w:rPr>
      </w:pPr>
      <w:r>
        <w:rPr>
          <w:rFonts w:hint="eastAsia" w:ascii="宋体" w:hAnsi="宋体" w:eastAsia="宋体" w:cs="楷体_GB2312"/>
          <w:b/>
          <w:bCs/>
          <w:color w:val="auto"/>
          <w:sz w:val="24"/>
          <w:szCs w:val="24"/>
        </w:rPr>
        <w:t>十七、其它</w:t>
      </w:r>
    </w:p>
    <w:p w14:paraId="190A137F">
      <w:pPr>
        <w:spacing w:line="360" w:lineRule="auto"/>
        <w:ind w:firstLine="600" w:firstLineChars="25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本合同未尽事宜可签署补充协议，补充协议是本合同的重要组成，与本合同具有同等法律效力。</w:t>
      </w:r>
    </w:p>
    <w:p w14:paraId="665C2A68">
      <w:pPr>
        <w:spacing w:line="360" w:lineRule="auto"/>
        <w:ind w:firstLine="600" w:firstLineChars="250"/>
        <w:jc w:val="left"/>
        <w:rPr>
          <w:rFonts w:hint="eastAsia" w:ascii="宋体" w:hAnsi="宋体" w:eastAsia="宋体" w:cs="等线 Light"/>
          <w:color w:val="auto"/>
          <w:sz w:val="24"/>
          <w:szCs w:val="24"/>
          <w:lang w:eastAsia="zh-CN"/>
        </w:rPr>
      </w:pPr>
    </w:p>
    <w:p w14:paraId="08F8C04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甲方（公章）：</w:t>
      </w:r>
      <w:r>
        <w:rPr>
          <w:rFonts w:ascii="宋体" w:hAnsi="宋体" w:eastAsia="宋体" w:cs="等线 Light"/>
          <w:color w:val="auto"/>
          <w:sz w:val="24"/>
          <w:szCs w:val="24"/>
        </w:rPr>
        <w:t xml:space="preserve"> </w:t>
      </w:r>
    </w:p>
    <w:p w14:paraId="4D89EB0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法人代表（签字或盖章）：</w:t>
      </w:r>
    </w:p>
    <w:p w14:paraId="0472E79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授权代表（签字）：</w:t>
      </w:r>
    </w:p>
    <w:p w14:paraId="384F4BA7">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甲方地址：</w:t>
      </w:r>
      <w:r>
        <w:rPr>
          <w:rFonts w:ascii="宋体" w:hAnsi="宋体" w:eastAsia="宋体" w:cs="等线 Light"/>
          <w:color w:val="auto"/>
          <w:sz w:val="24"/>
          <w:szCs w:val="24"/>
        </w:rPr>
        <w:t xml:space="preserve"> </w:t>
      </w:r>
    </w:p>
    <w:p w14:paraId="18B3CD30">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甲方邮编：</w:t>
      </w:r>
      <w:r>
        <w:rPr>
          <w:rFonts w:ascii="宋体" w:hAnsi="宋体" w:eastAsia="宋体" w:cs="等线 Light"/>
          <w:color w:val="auto"/>
          <w:sz w:val="24"/>
          <w:szCs w:val="24"/>
        </w:rPr>
        <w:t xml:space="preserve"> </w:t>
      </w:r>
    </w:p>
    <w:p w14:paraId="47F2526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甲方电话（传真）：</w:t>
      </w:r>
      <w:r>
        <w:rPr>
          <w:rFonts w:ascii="宋体" w:hAnsi="宋体" w:eastAsia="宋体" w:cs="等线 Light"/>
          <w:color w:val="auto"/>
          <w:sz w:val="24"/>
          <w:szCs w:val="24"/>
        </w:rPr>
        <w:t xml:space="preserve"> </w:t>
      </w:r>
    </w:p>
    <w:p w14:paraId="41C9DB2E">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2FB81B79">
      <w:pPr>
        <w:spacing w:line="360" w:lineRule="auto"/>
        <w:jc w:val="left"/>
        <w:rPr>
          <w:rFonts w:ascii="宋体" w:hAnsi="宋体" w:eastAsia="宋体"/>
          <w:color w:val="auto"/>
          <w:sz w:val="24"/>
          <w:szCs w:val="24"/>
        </w:rPr>
      </w:pPr>
    </w:p>
    <w:p w14:paraId="2B5CBB7F">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乙方（公章）：</w:t>
      </w:r>
      <w:r>
        <w:rPr>
          <w:rFonts w:ascii="宋体" w:hAnsi="宋体" w:eastAsia="宋体" w:cs="等线 Light"/>
          <w:color w:val="auto"/>
          <w:sz w:val="24"/>
          <w:szCs w:val="24"/>
        </w:rPr>
        <w:t xml:space="preserve"> </w:t>
      </w:r>
    </w:p>
    <w:p w14:paraId="2836226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法人代表（签字或盖章）：</w:t>
      </w:r>
    </w:p>
    <w:p w14:paraId="3334DBA2">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授权代表（签字）：</w:t>
      </w:r>
    </w:p>
    <w:p w14:paraId="1347383D">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乙方地址：</w:t>
      </w:r>
    </w:p>
    <w:p w14:paraId="53D69E62">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乙方邮编：</w:t>
      </w:r>
      <w:r>
        <w:rPr>
          <w:rFonts w:ascii="宋体" w:hAnsi="宋体" w:eastAsia="宋体" w:cs="等线 Light"/>
          <w:color w:val="auto"/>
          <w:sz w:val="24"/>
          <w:szCs w:val="24"/>
        </w:rPr>
        <w:t xml:space="preserve"> </w:t>
      </w:r>
    </w:p>
    <w:p w14:paraId="19D87F33">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乙方电话（传真）：</w:t>
      </w:r>
    </w:p>
    <w:p w14:paraId="2BED142E">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5B6D05D6">
      <w:pPr>
        <w:spacing w:line="360" w:lineRule="auto"/>
        <w:jc w:val="left"/>
        <w:rPr>
          <w:rFonts w:ascii="宋体" w:hAnsi="宋体" w:eastAsia="宋体"/>
          <w:color w:val="auto"/>
          <w:sz w:val="24"/>
          <w:szCs w:val="24"/>
        </w:rPr>
      </w:pPr>
    </w:p>
    <w:p w14:paraId="3AC05A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145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宋体" w:cs="仿宋_GB2312"/>
      <w:kern w:val="2"/>
      <w:sz w:val="21"/>
      <w:szCs w:val="21"/>
      <w:lang w:val="en-US" w:eastAsia="zh-CN" w:bidi="ar-SA"/>
    </w:rPr>
  </w:style>
  <w:style w:type="paragraph" w:styleId="3">
    <w:name w:val="heading 1"/>
    <w:basedOn w:val="1"/>
    <w:next w:val="1"/>
    <w:link w:val="7"/>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4">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mbria Math" w:hAnsi="Cambria Math" w:cs="Cambria Math"/>
      <w:kern w:val="0"/>
      <w:sz w:val="20"/>
      <w:szCs w:val="20"/>
    </w:rPr>
  </w:style>
  <w:style w:type="character" w:customStyle="1" w:styleId="7">
    <w:name w:val="标题 1 Char"/>
    <w:link w:val="3"/>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2026-05-22T00:30:02Z</dcterms:created>
  <dc:creator>Administrator</dc:creator>
  <cp:lastModifiedBy>曾</cp:lastModifiedBy>
  <dcterms:modified xsi:type="dcterms:W3CDTF">2026-05-22T00:33:45Z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eyJoZGlkIjoiMmJjMmQyOTFlYzEwYTE5YjM5ZjAyZjUzOWZjMDA5NmYiLCJ1c2VySWQiOiI4MDA0MDk0NDIifQ==</vt:lpwstr>
  </property>
  <property fmtid="{D5CDD505-2E9C-101B-9397-08002B2CF9AE}" pid="4" name="ICV">
    <vt:lpwstr>101DAD235DD94A48BBDA96875EC28896_12</vt:lpwstr>
  </property>
</Properties>
</file>