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版本号：【KRDL】K4-260712420260729002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金花校区纺织楼等主电缆及供电系统改造工程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【KRDL】K4-2607124</w:t>
      </w:r>
      <w:r>
        <w:br/>
      </w:r>
      <w:r>
        <w:br/>
      </w:r>
      <w:r>
        <w:br/>
      </w:r>
    </w:p>
    <w:p>
      <w:pPr>
        <w:pStyle w:val="null3"/>
        <w:jc w:val="center"/>
        <w:outlineLvl w:val="2"/>
      </w:pPr>
      <w:r>
        <w:rPr>
          <w:rFonts w:ascii="仿宋_GB2312" w:hAnsi="仿宋_GB2312" w:cs="仿宋_GB2312" w:eastAsia="仿宋_GB2312"/>
          <w:sz w:val="28"/>
          <w:b/>
        </w:rPr>
        <w:t>西安工程大学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西安工程大学</w:t>
      </w:r>
      <w:r>
        <w:rPr>
          <w:rFonts w:ascii="仿宋_GB2312" w:hAnsi="仿宋_GB2312" w:cs="仿宋_GB2312" w:eastAsia="仿宋_GB2312"/>
        </w:rPr>
        <w:t>委托，拟对</w:t>
      </w:r>
      <w:r>
        <w:rPr>
          <w:rFonts w:ascii="仿宋_GB2312" w:hAnsi="仿宋_GB2312" w:cs="仿宋_GB2312" w:eastAsia="仿宋_GB2312"/>
        </w:rPr>
        <w:t>金花校区纺织楼等主电缆及供电系统改造工程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【KRDL】K4-2607124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金花校区纺织楼等主电缆及供电系统改造工程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西安工程大学金花校区纺织楼等主电缆及供电系统改造工程，为提升教学环境的舒适性与安全性，本次施工范围包括：金花校区室外土建拆除恢复及电气安装，纺织楼土建拆除恢复、安装拆除及电气安装，机电楼安装拆除及电气安装。主要内容涉及室外供电电缆更换、配电室配电柜及室内配电箱制安、桥架制安、室内线路敷设、照明灯具与插座更新、新旧线路对接，以及电缆沟开挖恢复、墙面打洞修复、吊顶拆除恢复等配套土建工作。具体以本项目竞争性磋商文件、工程量清单及图纸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采购包1（金花校区纺织楼等主电缆及供电系统改造工程）：属于专门面向中小企业采购。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1、主体资格：供应商为向采购人提供工程及相应服务的法人或其他组织；</w:t>
      </w:r>
    </w:p>
    <w:p>
      <w:pPr>
        <w:pStyle w:val="null3"/>
      </w:pPr>
      <w:r>
        <w:rPr>
          <w:rFonts w:ascii="仿宋_GB2312" w:hAnsi="仿宋_GB2312" w:cs="仿宋_GB2312" w:eastAsia="仿宋_GB2312"/>
        </w:rPr>
        <w:t>2、供应商资质要求：供应商应具备建设行政主管部门颁发的电力工程施工总承包三级（含）以上资质；同时具备合法有效的《承装（修、试）电力设施许可证》三级（含）以上（许可类别须同时包含承装类、承修类、承试类）；并具备有效的安全生产许可证，并在人员、设备、资金等方面具备相应的能力；</w:t>
      </w:r>
    </w:p>
    <w:p>
      <w:pPr>
        <w:pStyle w:val="null3"/>
      </w:pPr>
      <w:r>
        <w:rPr>
          <w:rFonts w:ascii="仿宋_GB2312" w:hAnsi="仿宋_GB2312" w:cs="仿宋_GB2312" w:eastAsia="仿宋_GB2312"/>
        </w:rPr>
        <w:t>3、供应商拟派项目经理资质和专业要求：供应商拟派项目经理须具备合法有效的机电工程专业注册建造师二级（含）以上执业资格，同时具备有效的安全生产考核合格证书（安全B证），在本单位注册且无在建工程；</w:t>
      </w:r>
    </w:p>
    <w:p>
      <w:pPr>
        <w:pStyle w:val="null3"/>
      </w:pPr>
      <w:r>
        <w:rPr>
          <w:rFonts w:ascii="仿宋_GB2312" w:hAnsi="仿宋_GB2312" w:cs="仿宋_GB2312" w:eastAsia="仿宋_GB2312"/>
        </w:rPr>
        <w:t>4、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同时拟派项目经理未被列入“信用中国”网站的“重点领域严重失信主体名单”中的“安全生产严重失信主体名单（自然人）”；未被“中国执行信息公开网”列入失信被执行人。</w:t>
      </w:r>
    </w:p>
    <w:p>
      <w:pPr>
        <w:pStyle w:val="null3"/>
      </w:pPr>
      <w:r>
        <w:rPr>
          <w:rFonts w:ascii="仿宋_GB2312" w:hAnsi="仿宋_GB2312" w:cs="仿宋_GB2312" w:eastAsia="仿宋_GB2312"/>
        </w:rPr>
        <w:t>5、其他要求：供应商及其拟派项目经理须在“陕西省住房和城乡建设厅”官方网站可查询；如供应商为外省进陕企业，还须同时提供“陕西省住房和城乡建设厅”官网企业库外省进陕施工企业信息首页截图。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西安工程大学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西安市碑林区金花南路19号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029-81369288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姚瑶、代光艳、路坦、贾亚妮、刘如拉、王昭、刘昆、张晨、王森、靳祥德、成荔、彭明杨、王莉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029-89581863、15229797656、17302920968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采购包1：1,383,646.87元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说明：（1）供应商成交后凭中标通知书向采购人缴纳成交金额的5%作为履约保证金； （2）履约保证金应使用人民币，使用银行转账缴纳； （3）采购人验收合格后，成交供应商提出书面申请，采购人将履约保证金（无息）退还成交供应商。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代理服务费收费标准：参照国家计委颁布的《招标代理服务收费管理暂行办法》（计价格[2002]1980号）及发改办价格[2003]857号文件的规定标准收取，本项目代理服务费按服务计取。 备注：在对采购代理服务费转账时需备注项目名称+采购代理服务费。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踏勘时间：2026-07-31 10:00:00</w:t>
            </w:r>
          </w:p>
          <w:p>
            <w:pPr>
              <w:pStyle w:val="null3"/>
              <w:ind w:firstLine="975"/>
            </w:pPr>
            <w:r>
              <w:rPr>
                <w:rFonts w:ascii="仿宋_GB2312" w:hAnsi="仿宋_GB2312" w:cs="仿宋_GB2312" w:eastAsia="仿宋_GB2312"/>
              </w:rPr>
              <w:t>踏勘地点：西安工程大学金花校区南门</w:t>
            </w:r>
          </w:p>
          <w:p>
            <w:pPr>
              <w:pStyle w:val="null3"/>
              <w:ind w:firstLine="975"/>
            </w:pPr>
            <w:r>
              <w:rPr>
                <w:rFonts w:ascii="仿宋_GB2312" w:hAnsi="仿宋_GB2312" w:cs="仿宋_GB2312" w:eastAsia="仿宋_GB2312"/>
              </w:rPr>
              <w:t>联系人：屈工</w:t>
            </w:r>
          </w:p>
          <w:p>
            <w:pPr>
              <w:pStyle w:val="null3"/>
              <w:ind w:firstLine="975"/>
            </w:pPr>
            <w:r>
              <w:rPr>
                <w:rFonts w:ascii="仿宋_GB2312" w:hAnsi="仿宋_GB2312" w:cs="仿宋_GB2312" w:eastAsia="仿宋_GB2312"/>
              </w:rPr>
              <w:t>联系电话号码：17391959019</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西安工程大学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西安工程大学</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西安工程大学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以竞争性磋商文件、响应文件及合同要求为准。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联系人：代光艳、路坦</w:t>
      </w:r>
    </w:p>
    <w:p>
      <w:pPr>
        <w:pStyle w:val="null3"/>
      </w:pPr>
      <w:r>
        <w:rPr>
          <w:rFonts w:ascii="仿宋_GB2312" w:hAnsi="仿宋_GB2312" w:cs="仿宋_GB2312" w:eastAsia="仿宋_GB2312"/>
        </w:rPr>
        <w:t>联系电话：17320095323</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1,383,646.87</w:t>
      </w:r>
    </w:p>
    <w:p>
      <w:pPr>
        <w:pStyle w:val="null3"/>
      </w:pPr>
      <w:r>
        <w:rPr>
          <w:rFonts w:ascii="仿宋_GB2312" w:hAnsi="仿宋_GB2312" w:cs="仿宋_GB2312" w:eastAsia="仿宋_GB2312"/>
        </w:rPr>
        <w:t>采购包最高限价（元）: 1,383,646.87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金花校区纺织楼等主电缆及供电系统改造工程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1,383,646.87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标的名称：金花校区纺织楼等主电缆及供电系统改造工程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sz w:val="24"/>
                <w:b/>
              </w:rPr>
              <w:t>一、项目概况</w:t>
            </w:r>
          </w:p>
          <w:p>
            <w:pPr>
              <w:pStyle w:val="null3"/>
              <w:ind w:firstLine="480"/>
            </w:pPr>
            <w:r>
              <w:rPr>
                <w:rFonts w:ascii="仿宋_GB2312" w:hAnsi="仿宋_GB2312" w:cs="仿宋_GB2312" w:eastAsia="仿宋_GB2312"/>
                <w:sz w:val="24"/>
              </w:rPr>
              <w:t>本西安工程大学金花校区纺织楼等主电缆及供电系统改造工程，旨在提升教学环境的舒适性与安全性。施工范围包括：金花校区室外土建拆除恢复及电气安装，纺织楼土建拆除恢复、安装拆除及电气安装，机电楼安装拆除及电气安装。主要内容涉及室外供电电缆更换、配电室配电柜及室内配电箱制安、桥架制安、室内线路敷设、照明灯具与插座更新、新旧线路对接，以及电缆沟开挖恢复、墙面打洞修复、吊顶拆除恢复等配套土建工作。</w:t>
            </w:r>
          </w:p>
          <w:p>
            <w:pPr>
              <w:pStyle w:val="null3"/>
              <w:ind w:firstLine="482"/>
            </w:pPr>
            <w:r>
              <w:rPr>
                <w:rFonts w:ascii="仿宋_GB2312" w:hAnsi="仿宋_GB2312" w:cs="仿宋_GB2312" w:eastAsia="仿宋_GB2312"/>
                <w:sz w:val="24"/>
                <w:b/>
              </w:rPr>
              <w:t>二、</w:t>
            </w:r>
            <w:r>
              <w:rPr>
                <w:rFonts w:ascii="仿宋_GB2312" w:hAnsi="仿宋_GB2312" w:cs="仿宋_GB2312" w:eastAsia="仿宋_GB2312"/>
                <w:sz w:val="24"/>
                <w:b/>
              </w:rPr>
              <w:t>工程技术标准及要求</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本</w:t>
            </w:r>
            <w:r>
              <w:rPr>
                <w:rFonts w:ascii="仿宋_GB2312" w:hAnsi="仿宋_GB2312" w:cs="仿宋_GB2312" w:eastAsia="仿宋_GB2312"/>
                <w:sz w:val="24"/>
              </w:rPr>
              <w:t>项目需执行的国家标准、行业标准、地方标准或者其他标准、规范等：</w:t>
            </w:r>
          </w:p>
          <w:tbl>
            <w:tblPr>
              <w:tblBorders>
                <w:top w:val="none" w:color="000000" w:sz="4"/>
                <w:left w:val="none" w:color="000000" w:sz="4"/>
                <w:bottom w:val="none" w:color="000000" w:sz="4"/>
                <w:right w:val="none" w:color="000000" w:sz="4"/>
                <w:insideH w:val="none"/>
                <w:insideV w:val="none"/>
              </w:tblBorders>
            </w:tblPr>
            <w:tblGrid>
              <w:gridCol w:w="258"/>
              <w:gridCol w:w="2289"/>
            </w:tblGrid>
            <w:tr>
              <w:tc>
                <w:tcPr>
                  <w:tcW w:type="dxa" w:w="258"/>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序号</w:t>
                  </w:r>
                </w:p>
              </w:tc>
              <w:tc>
                <w:tcPr>
                  <w:tcW w:type="dxa" w:w="2289"/>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标准、规范、规程名称</w:t>
                  </w:r>
                </w:p>
              </w:tc>
            </w:tr>
            <w:tr>
              <w:tc>
                <w:tcPr>
                  <w:tcW w:type="dxa" w:w="25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w:t>
                  </w:r>
                </w:p>
              </w:tc>
              <w:tc>
                <w:tcPr>
                  <w:tcW w:type="dxa" w:w="228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需满足国家建筑工程施工及验收规范标准以及材料、设备所涉及的现行国家、省、市或行业的工程建设标准、规范的要求。</w:t>
                  </w:r>
                </w:p>
              </w:tc>
            </w:tr>
            <w:tr>
              <w:tc>
                <w:tcPr>
                  <w:tcW w:type="dxa" w:w="25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w:t>
                  </w:r>
                </w:p>
              </w:tc>
              <w:tc>
                <w:tcPr>
                  <w:tcW w:type="dxa" w:w="228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GB 50168-2018</w:t>
                  </w:r>
                  <w:r>
                    <w:rPr>
                      <w:rFonts w:ascii="仿宋_GB2312" w:hAnsi="仿宋_GB2312" w:cs="仿宋_GB2312" w:eastAsia="仿宋_GB2312"/>
                      <w:sz w:val="24"/>
                    </w:rPr>
                    <w:t>《电气装置安装工程电缆线路施工及验收规范》</w:t>
                  </w:r>
                </w:p>
              </w:tc>
            </w:tr>
            <w:tr>
              <w:tc>
                <w:tcPr>
                  <w:tcW w:type="dxa" w:w="25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1.3</w:t>
                  </w:r>
                </w:p>
              </w:tc>
              <w:tc>
                <w:tcPr>
                  <w:tcW w:type="dxa" w:w="228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 xml:space="preserve">GB 50171-2012 </w:t>
                  </w:r>
                  <w:r>
                    <w:rPr>
                      <w:rFonts w:ascii="仿宋_GB2312" w:hAnsi="仿宋_GB2312" w:cs="仿宋_GB2312" w:eastAsia="仿宋_GB2312"/>
                      <w:sz w:val="24"/>
                    </w:rPr>
                    <w:t>《电气装置安装工程盘、柜及二次回路接线施工及验收规范》</w:t>
                  </w:r>
                </w:p>
              </w:tc>
            </w:tr>
            <w:tr>
              <w:tc>
                <w:tcPr>
                  <w:tcW w:type="dxa" w:w="25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1.4</w:t>
                  </w:r>
                </w:p>
              </w:tc>
              <w:tc>
                <w:tcPr>
                  <w:tcW w:type="dxa" w:w="228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 xml:space="preserve">GB 50148-2010 </w:t>
                  </w:r>
                  <w:r>
                    <w:rPr>
                      <w:rFonts w:ascii="仿宋_GB2312" w:hAnsi="仿宋_GB2312" w:cs="仿宋_GB2312" w:eastAsia="仿宋_GB2312"/>
                      <w:sz w:val="24"/>
                    </w:rPr>
                    <w:t>《电气装置安装工程电力变压器、油浸电抗器、互感器施工及验收规范》</w:t>
                  </w:r>
                </w:p>
              </w:tc>
            </w:tr>
            <w:tr>
              <w:tc>
                <w:tcPr>
                  <w:tcW w:type="dxa" w:w="25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1.5</w:t>
                  </w:r>
                </w:p>
              </w:tc>
              <w:tc>
                <w:tcPr>
                  <w:tcW w:type="dxa" w:w="2289"/>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国家、省、市或行业的其他相关工程建设标准、规范的要求。</w:t>
                  </w:r>
                </w:p>
              </w:tc>
            </w:tr>
          </w:tbl>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本工程的施工过程和成果必须符合国家有关工程建设标准强制性条文和国家或有关部门关于工程施工方面现行的标准、规范、规程、定额、办法、示例，以及陕西省关于工程施工方面的文件、规定，同时满足中华人民共和国住建部发布的《工程建设标准强制性条文》的规定。</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本工程其他技术标准及要求执行现行规范和采购人实际需求。</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在施工过程中，如果国家或有关部门颁布了新的技术部分准或规范，则承包人应采用新的标准或规范进行施工。</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采购人提供工程的施工方案和相关技术文件，是采购人现有的能被供应商利用的资料，采购人对供应商做出的任何推论、理解均不负责任。</w:t>
            </w:r>
          </w:p>
          <w:p>
            <w:pPr>
              <w:pStyle w:val="null3"/>
              <w:ind w:firstLine="480"/>
            </w:pPr>
            <w:r>
              <w:rPr>
                <w:rFonts w:ascii="仿宋_GB2312" w:hAnsi="仿宋_GB2312" w:cs="仿宋_GB2312" w:eastAsia="仿宋_GB2312"/>
                <w:sz w:val="24"/>
              </w:rPr>
              <w:t>6.</w:t>
            </w:r>
            <w:r>
              <w:rPr>
                <w:rFonts w:ascii="仿宋_GB2312" w:hAnsi="仿宋_GB2312" w:cs="仿宋_GB2312" w:eastAsia="仿宋_GB2312"/>
                <w:sz w:val="24"/>
              </w:rPr>
              <w:t>供应商可先到工程地点踏勘以充分了解工地位置、地质情况、进出场道路、拆迁干扰、储存空间、运输能力、装卸限制、行车干扰及任何其它足以影响承包价格的情况，了解施工规范、标准以及施工现场实际等情况，并应考虑现有人、材、机市场水平和供应、投标风险、不利的施工因素等，任何因忽视或误解工地情况而导致的索赔或工期延长申请将不获批准。</w:t>
            </w:r>
          </w:p>
          <w:p>
            <w:pPr>
              <w:pStyle w:val="null3"/>
              <w:ind w:firstLine="480"/>
            </w:pPr>
            <w:r>
              <w:rPr>
                <w:rFonts w:ascii="仿宋_GB2312" w:hAnsi="仿宋_GB2312" w:cs="仿宋_GB2312" w:eastAsia="仿宋_GB2312"/>
                <w:sz w:val="24"/>
              </w:rPr>
              <w:t>7.</w:t>
            </w:r>
            <w:r>
              <w:rPr>
                <w:rFonts w:ascii="仿宋_GB2312" w:hAnsi="仿宋_GB2312" w:cs="仿宋_GB2312" w:eastAsia="仿宋_GB2312"/>
                <w:sz w:val="24"/>
              </w:rPr>
              <w:t>供应商取得验收手续后，及时通知采购人验收，并按采购人的要求提交竣工验收申请报告及竣工资料，采购人应及时组织验收，并在验收后</w:t>
            </w:r>
            <w:r>
              <w:rPr>
                <w:rFonts w:ascii="仿宋_GB2312" w:hAnsi="仿宋_GB2312" w:cs="仿宋_GB2312" w:eastAsia="仿宋_GB2312"/>
                <w:sz w:val="24"/>
              </w:rPr>
              <w:t>10</w:t>
            </w:r>
            <w:r>
              <w:rPr>
                <w:rFonts w:ascii="仿宋_GB2312" w:hAnsi="仿宋_GB2312" w:cs="仿宋_GB2312" w:eastAsia="仿宋_GB2312"/>
                <w:sz w:val="24"/>
              </w:rPr>
              <w:t>个工作日内作出合格或不合格的验收意见，验收不合格的，供应商应返工，直至采购人验收合格为止，返工的一切费用由供应商承担，且工期不予顺延。如供应商在规定时间内未能组织验收的，需及时通知采购人，双方另行商定验收日期。</w:t>
            </w:r>
          </w:p>
          <w:p>
            <w:pPr>
              <w:pStyle w:val="null3"/>
              <w:ind w:firstLine="480"/>
            </w:pPr>
            <w:r>
              <w:rPr>
                <w:rFonts w:ascii="仿宋_GB2312" w:hAnsi="仿宋_GB2312" w:cs="仿宋_GB2312" w:eastAsia="仿宋_GB2312"/>
                <w:sz w:val="24"/>
              </w:rPr>
              <w:t>8.</w:t>
            </w:r>
            <w:r>
              <w:rPr>
                <w:rFonts w:ascii="仿宋_GB2312" w:hAnsi="仿宋_GB2312" w:cs="仿宋_GB2312" w:eastAsia="仿宋_GB2312"/>
                <w:sz w:val="24"/>
              </w:rPr>
              <w:t>成交供应商未经采购人及有关部门同意，不得擅自变更本项目在竞争性磋商过程承诺中认定的采购范围、实施组织方案和项目经理（响应文件中应明确项目经理的姓名及联系方法，以备检查）。</w:t>
            </w:r>
          </w:p>
          <w:p>
            <w:pPr>
              <w:pStyle w:val="null3"/>
              <w:ind w:firstLine="480"/>
            </w:pPr>
            <w:r>
              <w:rPr>
                <w:rFonts w:ascii="仿宋_GB2312" w:hAnsi="仿宋_GB2312" w:cs="仿宋_GB2312" w:eastAsia="仿宋_GB2312"/>
                <w:sz w:val="24"/>
              </w:rPr>
              <w:t>9.</w:t>
            </w:r>
            <w:r>
              <w:rPr>
                <w:rFonts w:ascii="仿宋_GB2312" w:hAnsi="仿宋_GB2312" w:cs="仿宋_GB2312" w:eastAsia="仿宋_GB2312"/>
                <w:sz w:val="24"/>
              </w:rPr>
              <w:t>本工程为确保下学期开学正常使用，成交供应商需提前做好施工准备，进场后及时进行人力、物力及设备投入，保质、保量、保安全、按期完工，</w:t>
            </w:r>
            <w:r>
              <w:rPr>
                <w:rFonts w:ascii="仿宋_GB2312" w:hAnsi="仿宋_GB2312" w:cs="仿宋_GB2312" w:eastAsia="仿宋_GB2312"/>
                <w:sz w:val="24"/>
              </w:rPr>
              <w:t>工期每无故推迟一天，按成交金额的</w:t>
            </w:r>
            <w:r>
              <w:rPr>
                <w:rFonts w:ascii="仿宋_GB2312" w:hAnsi="仿宋_GB2312" w:cs="仿宋_GB2312" w:eastAsia="仿宋_GB2312"/>
                <w:sz w:val="24"/>
              </w:rPr>
              <w:t>1%</w:t>
            </w:r>
            <w:r>
              <w:rPr>
                <w:rFonts w:ascii="仿宋_GB2312" w:hAnsi="仿宋_GB2312" w:cs="仿宋_GB2312" w:eastAsia="仿宋_GB2312"/>
                <w:sz w:val="24"/>
              </w:rPr>
              <w:t>按天从工程款项内累计扣除。</w:t>
            </w:r>
          </w:p>
          <w:p>
            <w:pPr>
              <w:pStyle w:val="null3"/>
              <w:ind w:firstLine="480"/>
            </w:pPr>
            <w:r>
              <w:rPr>
                <w:rFonts w:ascii="仿宋_GB2312" w:hAnsi="仿宋_GB2312" w:cs="仿宋_GB2312" w:eastAsia="仿宋_GB2312"/>
                <w:sz w:val="24"/>
              </w:rPr>
              <w:t>10.</w:t>
            </w:r>
            <w:r>
              <w:rPr>
                <w:rFonts w:ascii="仿宋_GB2312" w:hAnsi="仿宋_GB2312" w:cs="仿宋_GB2312" w:eastAsia="仿宋_GB2312"/>
                <w:sz w:val="24"/>
              </w:rPr>
              <w:t>成交供应商必须自行施工，不得转包、分包。</w:t>
            </w:r>
          </w:p>
          <w:p>
            <w:pPr>
              <w:pStyle w:val="null3"/>
              <w:ind w:firstLine="480"/>
            </w:pPr>
            <w:r>
              <w:rPr>
                <w:rFonts w:ascii="仿宋_GB2312" w:hAnsi="仿宋_GB2312" w:cs="仿宋_GB2312" w:eastAsia="仿宋_GB2312"/>
                <w:sz w:val="24"/>
              </w:rPr>
              <w:t>11.</w:t>
            </w:r>
            <w:r>
              <w:rPr>
                <w:rFonts w:ascii="仿宋_GB2312" w:hAnsi="仿宋_GB2312" w:cs="仿宋_GB2312" w:eastAsia="仿宋_GB2312"/>
                <w:sz w:val="24"/>
              </w:rPr>
              <w:t>成交供应商在施工过程中不得影响学校的日常生活、工作秩序。</w:t>
            </w:r>
          </w:p>
          <w:p>
            <w:pPr>
              <w:pStyle w:val="null3"/>
              <w:ind w:firstLine="480"/>
            </w:pPr>
            <w:r>
              <w:rPr>
                <w:rFonts w:ascii="仿宋_GB2312" w:hAnsi="仿宋_GB2312" w:cs="仿宋_GB2312" w:eastAsia="仿宋_GB2312"/>
                <w:sz w:val="24"/>
              </w:rPr>
              <w:t>12.</w:t>
            </w:r>
            <w:r>
              <w:rPr>
                <w:rFonts w:ascii="仿宋_GB2312" w:hAnsi="仿宋_GB2312" w:cs="仿宋_GB2312" w:eastAsia="仿宋_GB2312"/>
                <w:sz w:val="24"/>
              </w:rPr>
              <w:t>现场垃圾清运、治污减霾工作由成交供应商全权负责，供应商应负责做好项目的扬尘防治工作及垃圾清运工作。</w:t>
            </w:r>
          </w:p>
          <w:p>
            <w:pPr>
              <w:pStyle w:val="null3"/>
              <w:ind w:firstLine="480"/>
            </w:pPr>
            <w:r>
              <w:rPr>
                <w:rFonts w:ascii="仿宋_GB2312" w:hAnsi="仿宋_GB2312" w:cs="仿宋_GB2312" w:eastAsia="仿宋_GB2312"/>
                <w:sz w:val="24"/>
              </w:rPr>
              <w:t>13.本项目招标工程量清单量所示纺织楼及校医院吊顶拆除及恢复（用于恢复吊顶的面板及配套设施需与原吊顶材质与花色一致）为正常施工状态下的上限工程量。施工中现场所发生的吊顶拆除与恢复实际工程量小于清单工程量时据实结算，所发生的的吊顶拆除与恢复实际工程量大于清单工程量时，则按照清单工程量结算，一律不予调增。投标单位现场查勘时需妥善考虑此因素，科学制定保护性拆除与恢复方案，合理测算由此可能发生的一切费用。</w:t>
            </w:r>
          </w:p>
          <w:p>
            <w:pPr>
              <w:pStyle w:val="null3"/>
              <w:ind w:firstLine="480"/>
            </w:pPr>
            <w:r>
              <w:rPr>
                <w:rFonts w:ascii="仿宋_GB2312" w:hAnsi="仿宋_GB2312" w:cs="仿宋_GB2312" w:eastAsia="仿宋_GB2312"/>
                <w:sz w:val="24"/>
              </w:rPr>
              <w:t>14.因施工产生的建筑垃圾清运及校外弃运费（含渣土外运相关手续办理）及成品保护费用均包含在综合单价内，不再另行计费。</w:t>
            </w:r>
          </w:p>
          <w:p>
            <w:pPr>
              <w:pStyle w:val="null3"/>
              <w:ind w:firstLine="480"/>
            </w:pPr>
            <w:r>
              <w:rPr>
                <w:rFonts w:ascii="仿宋_GB2312" w:hAnsi="仿宋_GB2312" w:cs="仿宋_GB2312" w:eastAsia="仿宋_GB2312"/>
                <w:sz w:val="24"/>
              </w:rPr>
              <w:t>15.所有分项工程施工工艺将在开标前由成交供应商详细勘查现场后根据行业规范及现场实际情况科学组价，与施工相关的一切费用均包含在相关综合单价中，不再另行计费。</w:t>
            </w:r>
          </w:p>
          <w:p>
            <w:pPr>
              <w:pStyle w:val="null3"/>
              <w:ind w:firstLine="480"/>
            </w:pPr>
            <w:r>
              <w:rPr>
                <w:rFonts w:ascii="仿宋_GB2312" w:hAnsi="仿宋_GB2312" w:cs="仿宋_GB2312" w:eastAsia="仿宋_GB2312"/>
                <w:sz w:val="24"/>
              </w:rPr>
              <w:t>16.该装修工程为确保下学期开学正常使用，成交供应商需提前做好施工准备，进场后必须加大人力、物力及设备投入，保质、保量、保安全、按期完工，</w:t>
            </w:r>
            <w:r>
              <w:rPr>
                <w:rFonts w:ascii="仿宋_GB2312" w:hAnsi="仿宋_GB2312" w:cs="仿宋_GB2312" w:eastAsia="仿宋_GB2312"/>
                <w:sz w:val="24"/>
              </w:rPr>
              <w:t>工期每无故推迟一天，按中标价的</w:t>
            </w:r>
            <w:r>
              <w:rPr>
                <w:rFonts w:ascii="仿宋_GB2312" w:hAnsi="仿宋_GB2312" w:cs="仿宋_GB2312" w:eastAsia="仿宋_GB2312"/>
                <w:sz w:val="24"/>
              </w:rPr>
              <w:t>1%按天从工程款项内累计扣除。</w:t>
            </w:r>
          </w:p>
          <w:p>
            <w:pPr>
              <w:pStyle w:val="null3"/>
              <w:ind w:firstLine="482"/>
            </w:pPr>
            <w:r>
              <w:rPr>
                <w:rFonts w:ascii="仿宋_GB2312" w:hAnsi="仿宋_GB2312" w:cs="仿宋_GB2312" w:eastAsia="仿宋_GB2312"/>
                <w:sz w:val="24"/>
                <w:b/>
              </w:rPr>
              <w:t>三</w:t>
            </w:r>
            <w:r>
              <w:rPr>
                <w:rFonts w:ascii="仿宋_GB2312" w:hAnsi="仿宋_GB2312" w:cs="仿宋_GB2312" w:eastAsia="仿宋_GB2312"/>
                <w:sz w:val="24"/>
                <w:b/>
              </w:rPr>
              <w:t>、工程量清单、图纸及主要材料</w:t>
            </w:r>
          </w:p>
          <w:p>
            <w:pPr>
              <w:pStyle w:val="null3"/>
              <w:ind w:firstLine="480"/>
            </w:pPr>
            <w:r>
              <w:rPr>
                <w:rFonts w:ascii="仿宋_GB2312" w:hAnsi="仿宋_GB2312" w:cs="仿宋_GB2312" w:eastAsia="仿宋_GB2312"/>
                <w:sz w:val="24"/>
              </w:rPr>
              <w:t>（一）工程量清单：详见附件。</w:t>
            </w:r>
          </w:p>
          <w:p>
            <w:pPr>
              <w:pStyle w:val="null3"/>
              <w:ind w:firstLine="480"/>
            </w:pPr>
            <w:r>
              <w:rPr>
                <w:rFonts w:ascii="仿宋_GB2312" w:hAnsi="仿宋_GB2312" w:cs="仿宋_GB2312" w:eastAsia="仿宋_GB2312"/>
                <w:sz w:val="24"/>
              </w:rPr>
              <w:t>（二）图纸：</w:t>
            </w:r>
            <w:r>
              <w:rPr>
                <w:rFonts w:ascii="仿宋_GB2312" w:hAnsi="仿宋_GB2312" w:cs="仿宋_GB2312" w:eastAsia="仿宋_GB2312"/>
                <w:sz w:val="24"/>
              </w:rPr>
              <w:t>详见附件</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（三）主要材料（设备）技术参数要求</w:t>
            </w:r>
          </w:p>
          <w:tbl>
            <w:tblPr>
              <w:tblBorders>
                <w:top w:val="none" w:color="000000" w:sz="4"/>
                <w:left w:val="none" w:color="000000" w:sz="4"/>
                <w:bottom w:val="none" w:color="000000" w:sz="4"/>
                <w:right w:val="none" w:color="000000" w:sz="4"/>
                <w:insideH w:val="none"/>
                <w:insideV w:val="none"/>
              </w:tblBorders>
            </w:tblPr>
            <w:tblGrid>
              <w:gridCol w:w="272"/>
              <w:gridCol w:w="666"/>
              <w:gridCol w:w="909"/>
              <w:gridCol w:w="141"/>
              <w:gridCol w:w="544"/>
            </w:tblGrid>
            <w:tr>
              <w:tc>
                <w:tcPr>
                  <w:tcW w:type="dxa" w:w="27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66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材料（设备）名称</w:t>
                  </w:r>
                </w:p>
              </w:tc>
              <w:tc>
                <w:tcPr>
                  <w:tcW w:type="dxa" w:w="90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规格型号</w:t>
                  </w:r>
                </w:p>
              </w:tc>
              <w:tc>
                <w:tcPr>
                  <w:tcW w:type="dxa" w:w="14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54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推荐品质</w:t>
                  </w:r>
                </w:p>
              </w:tc>
            </w:tr>
            <w:tr>
              <w:tc>
                <w:tcPr>
                  <w:tcW w:type="dxa" w:w="2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铠装铜芯电力</w:t>
                  </w:r>
                </w:p>
                <w:p>
                  <w:pPr>
                    <w:pStyle w:val="null3"/>
                    <w:jc w:val="center"/>
                  </w:pPr>
                  <w:r>
                    <w:rPr>
                      <w:rFonts w:ascii="仿宋_GB2312" w:hAnsi="仿宋_GB2312" w:cs="仿宋_GB2312" w:eastAsia="仿宋_GB2312"/>
                      <w:sz w:val="24"/>
                    </w:rPr>
                    <w:t>电缆</w:t>
                  </w:r>
                </w:p>
              </w:tc>
              <w:tc>
                <w:tcPr>
                  <w:tcW w:type="dxa" w:w="9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w:t>
                  </w:r>
                  <w:r>
                    <w:rPr>
                      <w:rFonts w:ascii="仿宋_GB2312" w:hAnsi="仿宋_GB2312" w:cs="仿宋_GB2312" w:eastAsia="仿宋_GB2312"/>
                      <w:sz w:val="24"/>
                    </w:rPr>
                    <w:t>22</w:t>
                  </w:r>
                  <w:r>
                    <w:rPr>
                      <w:rFonts w:ascii="仿宋_GB2312" w:hAnsi="仿宋_GB2312" w:cs="仿宋_GB2312" w:eastAsia="仿宋_GB2312"/>
                      <w:sz w:val="24"/>
                    </w:rPr>
                    <w:t>-</w:t>
                  </w:r>
                  <w:r>
                    <w:rPr>
                      <w:rFonts w:ascii="仿宋_GB2312" w:hAnsi="仿宋_GB2312" w:cs="仿宋_GB2312" w:eastAsia="仿宋_GB2312"/>
                      <w:sz w:val="24"/>
                    </w:rPr>
                    <w:t>1.0KV-</w:t>
                  </w:r>
                  <w:r>
                    <w:rPr>
                      <w:rFonts w:ascii="仿宋_GB2312" w:hAnsi="仿宋_GB2312" w:cs="仿宋_GB2312" w:eastAsia="仿宋_GB2312"/>
                      <w:sz w:val="24"/>
                    </w:rPr>
                    <w:t>4*185+1*95</w:t>
                  </w:r>
                </w:p>
              </w:tc>
              <w:tc>
                <w:tcPr>
                  <w:tcW w:type="dxa" w:w="14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5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江苏上上、远东电缆</w:t>
                  </w:r>
                  <w:r>
                    <w:rPr>
                      <w:rFonts w:ascii="仿宋_GB2312" w:hAnsi="仿宋_GB2312" w:cs="仿宋_GB2312" w:eastAsia="仿宋_GB2312"/>
                      <w:sz w:val="21"/>
                    </w:rPr>
                    <w:t>、宝胜股份、亨通电缆或同等品质。</w:t>
                  </w:r>
                </w:p>
              </w:tc>
            </w:tr>
            <w:tr>
              <w:tc>
                <w:tcPr>
                  <w:tcW w:type="dxa" w:w="2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铠装铜芯电力</w:t>
                  </w:r>
                </w:p>
                <w:p>
                  <w:pPr>
                    <w:pStyle w:val="null3"/>
                    <w:jc w:val="center"/>
                  </w:pPr>
                  <w:r>
                    <w:rPr>
                      <w:rFonts w:ascii="仿宋_GB2312" w:hAnsi="仿宋_GB2312" w:cs="仿宋_GB2312" w:eastAsia="仿宋_GB2312"/>
                      <w:sz w:val="24"/>
                    </w:rPr>
                    <w:t>电缆</w:t>
                  </w:r>
                </w:p>
              </w:tc>
              <w:tc>
                <w:tcPr>
                  <w:tcW w:type="dxa" w:w="9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w:t>
                  </w:r>
                  <w:r>
                    <w:rPr>
                      <w:rFonts w:ascii="仿宋_GB2312" w:hAnsi="仿宋_GB2312" w:cs="仿宋_GB2312" w:eastAsia="仿宋_GB2312"/>
                      <w:sz w:val="24"/>
                    </w:rPr>
                    <w:t>22</w:t>
                  </w:r>
                  <w:r>
                    <w:rPr>
                      <w:rFonts w:ascii="仿宋_GB2312" w:hAnsi="仿宋_GB2312" w:cs="仿宋_GB2312" w:eastAsia="仿宋_GB2312"/>
                      <w:sz w:val="24"/>
                    </w:rPr>
                    <w:t>-</w:t>
                  </w:r>
                  <w:r>
                    <w:rPr>
                      <w:rFonts w:ascii="仿宋_GB2312" w:hAnsi="仿宋_GB2312" w:cs="仿宋_GB2312" w:eastAsia="仿宋_GB2312"/>
                      <w:sz w:val="24"/>
                    </w:rPr>
                    <w:t>1.0KV-</w:t>
                  </w:r>
                  <w:r>
                    <w:rPr>
                      <w:rFonts w:ascii="仿宋_GB2312" w:hAnsi="仿宋_GB2312" w:cs="仿宋_GB2312" w:eastAsia="仿宋_GB2312"/>
                      <w:sz w:val="24"/>
                    </w:rPr>
                    <w:t>4*120+1*70</w:t>
                  </w:r>
                </w:p>
              </w:tc>
              <w:tc>
                <w:tcPr>
                  <w:tcW w:type="dxa" w:w="14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5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江苏上上、远东电缆</w:t>
                  </w:r>
                  <w:r>
                    <w:rPr>
                      <w:rFonts w:ascii="仿宋_GB2312" w:hAnsi="仿宋_GB2312" w:cs="仿宋_GB2312" w:eastAsia="仿宋_GB2312"/>
                      <w:sz w:val="21"/>
                    </w:rPr>
                    <w:t>、宝胜股份、亨通电缆或同等品质</w:t>
                  </w:r>
                </w:p>
              </w:tc>
            </w:tr>
            <w:tr>
              <w:tc>
                <w:tcPr>
                  <w:tcW w:type="dxa" w:w="2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6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铜芯电力电缆</w:t>
                  </w:r>
                </w:p>
              </w:tc>
              <w:tc>
                <w:tcPr>
                  <w:tcW w:type="dxa" w:w="9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YJV-4*25+1*16</w:t>
                  </w:r>
                </w:p>
              </w:tc>
              <w:tc>
                <w:tcPr>
                  <w:tcW w:type="dxa" w:w="14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5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江苏上上、远东电缆</w:t>
                  </w:r>
                  <w:r>
                    <w:rPr>
                      <w:rFonts w:ascii="仿宋_GB2312" w:hAnsi="仿宋_GB2312" w:cs="仿宋_GB2312" w:eastAsia="仿宋_GB2312"/>
                      <w:sz w:val="21"/>
                    </w:rPr>
                    <w:t>、宝胜股份、亨通电缆或同等品质</w:t>
                  </w:r>
                </w:p>
              </w:tc>
            </w:tr>
            <w:tr>
              <w:tc>
                <w:tcPr>
                  <w:tcW w:type="dxa" w:w="2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6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铜芯电力电缆</w:t>
                  </w:r>
                </w:p>
              </w:tc>
              <w:tc>
                <w:tcPr>
                  <w:tcW w:type="dxa" w:w="9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WDZ-YJY-4*185+1*95</w:t>
                  </w:r>
                </w:p>
              </w:tc>
              <w:tc>
                <w:tcPr>
                  <w:tcW w:type="dxa" w:w="14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5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江苏上上、远东电缆</w:t>
                  </w:r>
                  <w:r>
                    <w:rPr>
                      <w:rFonts w:ascii="仿宋_GB2312" w:hAnsi="仿宋_GB2312" w:cs="仿宋_GB2312" w:eastAsia="仿宋_GB2312"/>
                      <w:sz w:val="21"/>
                    </w:rPr>
                    <w:t>、宝胜股份、亨通电缆或同等品质</w:t>
                  </w:r>
                </w:p>
              </w:tc>
            </w:tr>
            <w:tr>
              <w:tc>
                <w:tcPr>
                  <w:tcW w:type="dxa" w:w="2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6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铜芯电力电缆</w:t>
                  </w:r>
                </w:p>
              </w:tc>
              <w:tc>
                <w:tcPr>
                  <w:tcW w:type="dxa" w:w="9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WDZ-YJY-4*120+1*70</w:t>
                  </w:r>
                </w:p>
              </w:tc>
              <w:tc>
                <w:tcPr>
                  <w:tcW w:type="dxa" w:w="14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5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江苏上上、远东电缆</w:t>
                  </w:r>
                  <w:r>
                    <w:rPr>
                      <w:rFonts w:ascii="仿宋_GB2312" w:hAnsi="仿宋_GB2312" w:cs="仿宋_GB2312" w:eastAsia="仿宋_GB2312"/>
                      <w:sz w:val="21"/>
                    </w:rPr>
                    <w:t>、宝胜股份、亨通电缆或同等品质</w:t>
                  </w:r>
                </w:p>
              </w:tc>
            </w:tr>
            <w:tr>
              <w:tc>
                <w:tcPr>
                  <w:tcW w:type="dxa" w:w="2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6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铜芯电力电缆</w:t>
                  </w:r>
                </w:p>
              </w:tc>
              <w:tc>
                <w:tcPr>
                  <w:tcW w:type="dxa" w:w="9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WDZ-YJY-4*95+1*50</w:t>
                  </w:r>
                </w:p>
              </w:tc>
              <w:tc>
                <w:tcPr>
                  <w:tcW w:type="dxa" w:w="14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5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江苏上上、远东电缆</w:t>
                  </w:r>
                  <w:r>
                    <w:rPr>
                      <w:rFonts w:ascii="仿宋_GB2312" w:hAnsi="仿宋_GB2312" w:cs="仿宋_GB2312" w:eastAsia="仿宋_GB2312"/>
                      <w:sz w:val="21"/>
                    </w:rPr>
                    <w:t>、宝胜股份、亨通电缆或同等品质</w:t>
                  </w:r>
                </w:p>
              </w:tc>
            </w:tr>
            <w:tr>
              <w:tc>
                <w:tcPr>
                  <w:tcW w:type="dxa" w:w="2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6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铜芯电力电缆</w:t>
                  </w:r>
                </w:p>
              </w:tc>
              <w:tc>
                <w:tcPr>
                  <w:tcW w:type="dxa" w:w="9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WDZ-YJY-4*70+1*35</w:t>
                  </w:r>
                </w:p>
              </w:tc>
              <w:tc>
                <w:tcPr>
                  <w:tcW w:type="dxa" w:w="14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5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江苏上上、远东电缆</w:t>
                  </w:r>
                  <w:r>
                    <w:rPr>
                      <w:rFonts w:ascii="仿宋_GB2312" w:hAnsi="仿宋_GB2312" w:cs="仿宋_GB2312" w:eastAsia="仿宋_GB2312"/>
                      <w:sz w:val="21"/>
                    </w:rPr>
                    <w:t>、宝胜股份、亨通电缆或同等品质</w:t>
                  </w:r>
                </w:p>
              </w:tc>
            </w:tr>
            <w:tr>
              <w:tc>
                <w:tcPr>
                  <w:tcW w:type="dxa" w:w="2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6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铜芯电力电缆</w:t>
                  </w:r>
                </w:p>
              </w:tc>
              <w:tc>
                <w:tcPr>
                  <w:tcW w:type="dxa" w:w="9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WDZ-YJY-4*50+1*25</w:t>
                  </w:r>
                </w:p>
              </w:tc>
              <w:tc>
                <w:tcPr>
                  <w:tcW w:type="dxa" w:w="14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5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江苏上上、远东电缆</w:t>
                  </w:r>
                  <w:r>
                    <w:rPr>
                      <w:rFonts w:ascii="仿宋_GB2312" w:hAnsi="仿宋_GB2312" w:cs="仿宋_GB2312" w:eastAsia="仿宋_GB2312"/>
                      <w:sz w:val="21"/>
                    </w:rPr>
                    <w:t>、宝胜股份、亨通电缆或同等品质</w:t>
                  </w:r>
                </w:p>
              </w:tc>
            </w:tr>
            <w:tr>
              <w:tc>
                <w:tcPr>
                  <w:tcW w:type="dxa" w:w="2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6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铜芯电力电缆</w:t>
                  </w:r>
                </w:p>
              </w:tc>
              <w:tc>
                <w:tcPr>
                  <w:tcW w:type="dxa" w:w="9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WDZ-YJY-4*25+1*16</w:t>
                  </w:r>
                </w:p>
              </w:tc>
              <w:tc>
                <w:tcPr>
                  <w:tcW w:type="dxa" w:w="14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5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江苏上上、远东电缆</w:t>
                  </w:r>
                  <w:r>
                    <w:rPr>
                      <w:rFonts w:ascii="仿宋_GB2312" w:hAnsi="仿宋_GB2312" w:cs="仿宋_GB2312" w:eastAsia="仿宋_GB2312"/>
                      <w:sz w:val="21"/>
                    </w:rPr>
                    <w:t>、宝胜股份、亨通电缆或同等品质</w:t>
                  </w:r>
                </w:p>
              </w:tc>
            </w:tr>
            <w:tr>
              <w:tc>
                <w:tcPr>
                  <w:tcW w:type="dxa" w:w="2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6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铜芯电力电缆</w:t>
                  </w:r>
                </w:p>
              </w:tc>
              <w:tc>
                <w:tcPr>
                  <w:tcW w:type="dxa" w:w="9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WDZ-YJY-5*16</w:t>
                  </w:r>
                </w:p>
              </w:tc>
              <w:tc>
                <w:tcPr>
                  <w:tcW w:type="dxa" w:w="14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5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江苏上上、远东电缆</w:t>
                  </w:r>
                  <w:r>
                    <w:rPr>
                      <w:rFonts w:ascii="仿宋_GB2312" w:hAnsi="仿宋_GB2312" w:cs="仿宋_GB2312" w:eastAsia="仿宋_GB2312"/>
                      <w:sz w:val="21"/>
                    </w:rPr>
                    <w:t>、宝胜股份、亨通电缆或同等品质</w:t>
                  </w:r>
                </w:p>
              </w:tc>
            </w:tr>
            <w:tr>
              <w:tc>
                <w:tcPr>
                  <w:tcW w:type="dxa" w:w="2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6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铜芯电力电缆</w:t>
                  </w:r>
                </w:p>
              </w:tc>
              <w:tc>
                <w:tcPr>
                  <w:tcW w:type="dxa" w:w="9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WDZ-YJY-5*10</w:t>
                  </w:r>
                </w:p>
              </w:tc>
              <w:tc>
                <w:tcPr>
                  <w:tcW w:type="dxa" w:w="14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5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江苏上上、远东电缆</w:t>
                  </w:r>
                  <w:r>
                    <w:rPr>
                      <w:rFonts w:ascii="仿宋_GB2312" w:hAnsi="仿宋_GB2312" w:cs="仿宋_GB2312" w:eastAsia="仿宋_GB2312"/>
                      <w:sz w:val="21"/>
                    </w:rPr>
                    <w:t>、宝胜股份、亨通电缆或同等品质</w:t>
                  </w:r>
                </w:p>
              </w:tc>
            </w:tr>
            <w:tr>
              <w:tc>
                <w:tcPr>
                  <w:tcW w:type="dxa" w:w="2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6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铜芯电力电缆</w:t>
                  </w:r>
                </w:p>
              </w:tc>
              <w:tc>
                <w:tcPr>
                  <w:tcW w:type="dxa" w:w="9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WDZ-YJY-5*6</w:t>
                  </w:r>
                </w:p>
              </w:tc>
              <w:tc>
                <w:tcPr>
                  <w:tcW w:type="dxa" w:w="14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5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江苏上上、远东电缆</w:t>
                  </w:r>
                  <w:r>
                    <w:rPr>
                      <w:rFonts w:ascii="仿宋_GB2312" w:hAnsi="仿宋_GB2312" w:cs="仿宋_GB2312" w:eastAsia="仿宋_GB2312"/>
                      <w:sz w:val="21"/>
                    </w:rPr>
                    <w:t>、宝胜股份、亨通电缆或同等品质</w:t>
                  </w:r>
                </w:p>
              </w:tc>
            </w:tr>
            <w:tr>
              <w:tc>
                <w:tcPr>
                  <w:tcW w:type="dxa" w:w="2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6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铜芯电力电缆</w:t>
                  </w:r>
                </w:p>
              </w:tc>
              <w:tc>
                <w:tcPr>
                  <w:tcW w:type="dxa" w:w="9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WDZ-YJY-5*4</w:t>
                  </w:r>
                </w:p>
              </w:tc>
              <w:tc>
                <w:tcPr>
                  <w:tcW w:type="dxa" w:w="14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5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江苏上上、远东电缆</w:t>
                  </w:r>
                  <w:r>
                    <w:rPr>
                      <w:rFonts w:ascii="仿宋_GB2312" w:hAnsi="仿宋_GB2312" w:cs="仿宋_GB2312" w:eastAsia="仿宋_GB2312"/>
                      <w:sz w:val="21"/>
                    </w:rPr>
                    <w:t>、宝胜股份、亨通电缆或同等品质</w:t>
                  </w:r>
                </w:p>
              </w:tc>
            </w:tr>
            <w:tr>
              <w:tc>
                <w:tcPr>
                  <w:tcW w:type="dxa" w:w="2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6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铜芯电线</w:t>
                  </w:r>
                </w:p>
              </w:tc>
              <w:tc>
                <w:tcPr>
                  <w:tcW w:type="dxa" w:w="9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BV 6mm2</w:t>
                  </w:r>
                </w:p>
              </w:tc>
              <w:tc>
                <w:tcPr>
                  <w:tcW w:type="dxa" w:w="14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5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江苏上上、远东电缆</w:t>
                  </w:r>
                  <w:r>
                    <w:rPr>
                      <w:rFonts w:ascii="仿宋_GB2312" w:hAnsi="仿宋_GB2312" w:cs="仿宋_GB2312" w:eastAsia="仿宋_GB2312"/>
                      <w:sz w:val="21"/>
                    </w:rPr>
                    <w:t>、宝胜股份、亨通电缆或同等品质</w:t>
                  </w:r>
                </w:p>
              </w:tc>
            </w:tr>
            <w:tr>
              <w:tc>
                <w:tcPr>
                  <w:tcW w:type="dxa" w:w="2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6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铜芯电线</w:t>
                  </w:r>
                </w:p>
              </w:tc>
              <w:tc>
                <w:tcPr>
                  <w:tcW w:type="dxa" w:w="9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BV 4mm2</w:t>
                  </w:r>
                </w:p>
              </w:tc>
              <w:tc>
                <w:tcPr>
                  <w:tcW w:type="dxa" w:w="14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5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江苏上上、远东电缆</w:t>
                  </w:r>
                  <w:r>
                    <w:rPr>
                      <w:rFonts w:ascii="仿宋_GB2312" w:hAnsi="仿宋_GB2312" w:cs="仿宋_GB2312" w:eastAsia="仿宋_GB2312"/>
                      <w:sz w:val="21"/>
                    </w:rPr>
                    <w:t>、宝胜股份、亨通电缆或同等品质</w:t>
                  </w:r>
                </w:p>
              </w:tc>
            </w:tr>
            <w:tr>
              <w:tc>
                <w:tcPr>
                  <w:tcW w:type="dxa" w:w="2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6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铜芯电线</w:t>
                  </w:r>
                </w:p>
              </w:tc>
              <w:tc>
                <w:tcPr>
                  <w:tcW w:type="dxa" w:w="9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BV 2.5mm2</w:t>
                  </w:r>
                </w:p>
              </w:tc>
              <w:tc>
                <w:tcPr>
                  <w:tcW w:type="dxa" w:w="14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江苏上上、远东电缆</w:t>
                  </w:r>
                  <w:r>
                    <w:rPr>
                      <w:rFonts w:ascii="仿宋_GB2312" w:hAnsi="仿宋_GB2312" w:cs="仿宋_GB2312" w:eastAsia="仿宋_GB2312"/>
                      <w:sz w:val="21"/>
                    </w:rPr>
                    <w:t>、宝胜股份、亨通电缆或同等品质</w:t>
                  </w:r>
                </w:p>
              </w:tc>
            </w:tr>
            <w:tr>
              <w:tc>
                <w:tcPr>
                  <w:tcW w:type="dxa" w:w="2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6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塑壳开关</w:t>
                  </w:r>
                </w:p>
              </w:tc>
              <w:tc>
                <w:tcPr>
                  <w:tcW w:type="dxa" w:w="9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额定绝缘电压</w:t>
                  </w:r>
                  <w:r>
                    <w:rPr>
                      <w:rFonts w:ascii="仿宋_GB2312" w:hAnsi="仿宋_GB2312" w:cs="仿宋_GB2312" w:eastAsia="仿宋_GB2312"/>
                      <w:sz w:val="24"/>
                    </w:rPr>
                    <w:t>Ui：690V额定频率：50Hz</w:t>
                  </w:r>
                </w:p>
              </w:tc>
              <w:tc>
                <w:tcPr>
                  <w:tcW w:type="dxa" w:w="14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德力西、施耐德、</w:t>
                  </w:r>
                  <w:r>
                    <w:rPr>
                      <w:rFonts w:ascii="仿宋_GB2312" w:hAnsi="仿宋_GB2312" w:cs="仿宋_GB2312" w:eastAsia="仿宋_GB2312"/>
                      <w:sz w:val="24"/>
                    </w:rPr>
                    <w:t>ABB或同等品质</w:t>
                  </w:r>
                </w:p>
              </w:tc>
            </w:tr>
            <w:tr>
              <w:tc>
                <w:tcPr>
                  <w:tcW w:type="dxa" w:w="2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8</w:t>
                  </w:r>
                </w:p>
              </w:tc>
              <w:tc>
                <w:tcPr>
                  <w:tcW w:type="dxa" w:w="6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负荷开关</w:t>
                  </w:r>
                </w:p>
              </w:tc>
              <w:tc>
                <w:tcPr>
                  <w:tcW w:type="dxa" w:w="9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AC230V、AC400V</w:t>
                  </w:r>
                </w:p>
              </w:tc>
              <w:tc>
                <w:tcPr>
                  <w:tcW w:type="dxa" w:w="14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德力西、施耐德、</w:t>
                  </w:r>
                  <w:r>
                    <w:rPr>
                      <w:rFonts w:ascii="仿宋_GB2312" w:hAnsi="仿宋_GB2312" w:cs="仿宋_GB2312" w:eastAsia="仿宋_GB2312"/>
                      <w:sz w:val="24"/>
                    </w:rPr>
                    <w:t>ABB或同等品质</w:t>
                  </w:r>
                </w:p>
              </w:tc>
            </w:tr>
            <w:tr>
              <w:tc>
                <w:tcPr>
                  <w:tcW w:type="dxa" w:w="2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6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浪涌保护器</w:t>
                  </w:r>
                </w:p>
              </w:tc>
              <w:tc>
                <w:tcPr>
                  <w:tcW w:type="dxa" w:w="9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AC 230V/400V</w:t>
                  </w:r>
                </w:p>
              </w:tc>
              <w:tc>
                <w:tcPr>
                  <w:tcW w:type="dxa" w:w="14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德力西、施耐德、</w:t>
                  </w:r>
                  <w:r>
                    <w:rPr>
                      <w:rFonts w:ascii="仿宋_GB2312" w:hAnsi="仿宋_GB2312" w:cs="仿宋_GB2312" w:eastAsia="仿宋_GB2312"/>
                      <w:sz w:val="24"/>
                    </w:rPr>
                    <w:t>ABB或同等品质</w:t>
                  </w:r>
                </w:p>
              </w:tc>
            </w:tr>
            <w:tr>
              <w:tc>
                <w:tcPr>
                  <w:tcW w:type="dxa" w:w="2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6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互感器</w:t>
                  </w:r>
                </w:p>
              </w:tc>
              <w:tc>
                <w:tcPr>
                  <w:tcW w:type="dxa" w:w="9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0.2级</w:t>
                  </w:r>
                </w:p>
              </w:tc>
              <w:tc>
                <w:tcPr>
                  <w:tcW w:type="dxa" w:w="14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德力西、施耐德、</w:t>
                  </w:r>
                  <w:r>
                    <w:rPr>
                      <w:rFonts w:ascii="仿宋_GB2312" w:hAnsi="仿宋_GB2312" w:cs="仿宋_GB2312" w:eastAsia="仿宋_GB2312"/>
                      <w:sz w:val="24"/>
                    </w:rPr>
                    <w:t>ABB或同等品质</w:t>
                  </w:r>
                </w:p>
              </w:tc>
            </w:tr>
            <w:tr>
              <w:tc>
                <w:tcPr>
                  <w:tcW w:type="dxa" w:w="2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6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电流表</w:t>
                  </w:r>
                </w:p>
              </w:tc>
              <w:tc>
                <w:tcPr>
                  <w:tcW w:type="dxa" w:w="9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0.5 级</w:t>
                  </w:r>
                </w:p>
              </w:tc>
              <w:tc>
                <w:tcPr>
                  <w:tcW w:type="dxa" w:w="14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德力西、施耐德、</w:t>
                  </w:r>
                  <w:r>
                    <w:rPr>
                      <w:rFonts w:ascii="仿宋_GB2312" w:hAnsi="仿宋_GB2312" w:cs="仿宋_GB2312" w:eastAsia="仿宋_GB2312"/>
                      <w:sz w:val="24"/>
                    </w:rPr>
                    <w:t>ABB或同等品质</w:t>
                  </w:r>
                </w:p>
              </w:tc>
            </w:tr>
            <w:tr>
              <w:tc>
                <w:tcPr>
                  <w:tcW w:type="dxa" w:w="2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6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电能质量检测仪</w:t>
                  </w:r>
                </w:p>
              </w:tc>
              <w:tc>
                <w:tcPr>
                  <w:tcW w:type="dxa" w:w="9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有功</w:t>
                  </w:r>
                  <w:r>
                    <w:rPr>
                      <w:rFonts w:ascii="仿宋_GB2312" w:hAnsi="仿宋_GB2312" w:cs="仿宋_GB2312" w:eastAsia="仿宋_GB2312"/>
                      <w:sz w:val="24"/>
                    </w:rPr>
                    <w:t>1级</w:t>
                  </w:r>
                </w:p>
              </w:tc>
              <w:tc>
                <w:tcPr>
                  <w:tcW w:type="dxa" w:w="14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德力西、施耐德、</w:t>
                  </w:r>
                  <w:r>
                    <w:rPr>
                      <w:rFonts w:ascii="仿宋_GB2312" w:hAnsi="仿宋_GB2312" w:cs="仿宋_GB2312" w:eastAsia="仿宋_GB2312"/>
                      <w:sz w:val="24"/>
                    </w:rPr>
                    <w:t>ABB或同等品质</w:t>
                  </w:r>
                </w:p>
              </w:tc>
            </w:tr>
            <w:tr>
              <w:tc>
                <w:tcPr>
                  <w:tcW w:type="dxa" w:w="2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6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配电箱</w:t>
                  </w:r>
                </w:p>
              </w:tc>
              <w:tc>
                <w:tcPr>
                  <w:tcW w:type="dxa" w:w="9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4"/>
                    </w:rPr>
                    <w:t>材质：冷轧钢板</w:t>
                  </w:r>
                </w:p>
                <w:p>
                  <w:pPr>
                    <w:pStyle w:val="null3"/>
                  </w:pPr>
                  <w:r>
                    <w:rPr>
                      <w:rFonts w:ascii="仿宋_GB2312" w:hAnsi="仿宋_GB2312" w:cs="仿宋_GB2312" w:eastAsia="仿宋_GB2312"/>
                      <w:sz w:val="24"/>
                    </w:rPr>
                    <w:t>厚度：箱体门板</w:t>
                  </w:r>
                  <w:r>
                    <w:rPr>
                      <w:rFonts w:ascii="仿宋_GB2312" w:hAnsi="仿宋_GB2312" w:cs="仿宋_GB2312" w:eastAsia="仿宋_GB2312"/>
                      <w:sz w:val="24"/>
                    </w:rPr>
                    <w:t>1.0mm，柜体1.2mm，安装背板1.5mm。</w:t>
                  </w:r>
                </w:p>
                <w:p>
                  <w:pPr>
                    <w:pStyle w:val="null3"/>
                  </w:pPr>
                  <w:r>
                    <w:rPr>
                      <w:rFonts w:ascii="仿宋_GB2312" w:hAnsi="仿宋_GB2312" w:cs="仿宋_GB2312" w:eastAsia="仿宋_GB2312"/>
                      <w:sz w:val="24"/>
                    </w:rPr>
                    <w:t>防护等级：</w:t>
                  </w:r>
                  <w:r>
                    <w:rPr>
                      <w:rFonts w:ascii="仿宋_GB2312" w:hAnsi="仿宋_GB2312" w:cs="仿宋_GB2312" w:eastAsia="仿宋_GB2312"/>
                      <w:sz w:val="24"/>
                    </w:rPr>
                    <w:t>IP30表面处理：静电喷塑灰色，防腐防锈。</w:t>
                  </w:r>
                </w:p>
              </w:tc>
              <w:tc>
                <w:tcPr>
                  <w:tcW w:type="dxa" w:w="14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德力西、施耐德、</w:t>
                  </w:r>
                  <w:r>
                    <w:rPr>
                      <w:rFonts w:ascii="仿宋_GB2312" w:hAnsi="仿宋_GB2312" w:cs="仿宋_GB2312" w:eastAsia="仿宋_GB2312"/>
                      <w:sz w:val="24"/>
                    </w:rPr>
                    <w:t>ABB或同等品质</w:t>
                  </w:r>
                </w:p>
              </w:tc>
            </w:tr>
            <w:tr>
              <w:tc>
                <w:tcPr>
                  <w:tcW w:type="dxa" w:w="2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6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钢制槽式桥架</w:t>
                  </w:r>
                </w:p>
              </w:tc>
              <w:tc>
                <w:tcPr>
                  <w:tcW w:type="dxa" w:w="9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300*100 200*100</w:t>
                  </w:r>
                </w:p>
              </w:tc>
              <w:tc>
                <w:tcPr>
                  <w:tcW w:type="dxa" w:w="14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5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万奇、大全、上海振大或同等品质</w:t>
                  </w:r>
                </w:p>
              </w:tc>
            </w:tr>
            <w:tr>
              <w:tc>
                <w:tcPr>
                  <w:tcW w:type="dxa" w:w="2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66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面板开关</w:t>
                  </w:r>
                </w:p>
              </w:tc>
              <w:tc>
                <w:tcPr>
                  <w:tcW w:type="dxa" w:w="9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w:t>
                  </w:r>
                  <w:r>
                    <w:rPr>
                      <w:rFonts w:ascii="仿宋_GB2312" w:hAnsi="仿宋_GB2312" w:cs="仿宋_GB2312" w:eastAsia="仿宋_GB2312"/>
                      <w:sz w:val="24"/>
                    </w:rPr>
                    <w:t>系列</w:t>
                  </w:r>
                </w:p>
              </w:tc>
              <w:tc>
                <w:tcPr>
                  <w:tcW w:type="dxa" w:w="14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德力西、施耐德、</w:t>
                  </w:r>
                  <w:r>
                    <w:rPr>
                      <w:rFonts w:ascii="仿宋_GB2312" w:hAnsi="仿宋_GB2312" w:cs="仿宋_GB2312" w:eastAsia="仿宋_GB2312"/>
                      <w:sz w:val="24"/>
                    </w:rPr>
                    <w:t>ABB或同等品质</w:t>
                  </w:r>
                </w:p>
              </w:tc>
            </w:tr>
          </w:tbl>
          <w:p>
            <w:pPr>
              <w:pStyle w:val="null3"/>
              <w:ind w:left="480"/>
            </w:pPr>
            <w:r>
              <w:rPr>
                <w:rFonts w:ascii="仿宋_GB2312" w:hAnsi="仿宋_GB2312" w:cs="仿宋_GB2312" w:eastAsia="仿宋_GB2312"/>
                <w:sz w:val="24"/>
                <w:b/>
              </w:rPr>
              <w:t>备注：</w:t>
            </w:r>
          </w:p>
          <w:p>
            <w:pPr>
              <w:pStyle w:val="null3"/>
              <w:ind w:firstLine="482"/>
            </w:pPr>
            <w:r>
              <w:rPr>
                <w:rFonts w:ascii="仿宋_GB2312" w:hAnsi="仿宋_GB2312" w:cs="仿宋_GB2312" w:eastAsia="仿宋_GB2312"/>
                <w:sz w:val="24"/>
                <w:b/>
              </w:rPr>
              <w:t>1.供应商拟投入使用的材料、设备须</w:t>
            </w:r>
            <w:r>
              <w:rPr>
                <w:rFonts w:ascii="仿宋_GB2312" w:hAnsi="仿宋_GB2312" w:cs="仿宋_GB2312" w:eastAsia="仿宋_GB2312"/>
                <w:sz w:val="24"/>
                <w:b/>
              </w:rPr>
              <w:t>不低于上述同质量品质</w:t>
            </w:r>
            <w:r>
              <w:rPr>
                <w:rFonts w:ascii="仿宋_GB2312" w:hAnsi="仿宋_GB2312" w:cs="仿宋_GB2312" w:eastAsia="仿宋_GB2312"/>
                <w:sz w:val="24"/>
                <w:b/>
              </w:rPr>
              <w:t>的要求。在施工过程中成交供应商若提出性能、质量、品质、实力等同于或高于投标时的选定的产品或厂家时，必须经采购人书面同意，但由此增加的费用由供应商自行承担。</w:t>
            </w:r>
          </w:p>
          <w:p>
            <w:pPr>
              <w:pStyle w:val="null3"/>
              <w:ind w:firstLine="482"/>
            </w:pPr>
            <w:r>
              <w:rPr>
                <w:rFonts w:ascii="仿宋_GB2312" w:hAnsi="仿宋_GB2312" w:cs="仿宋_GB2312" w:eastAsia="仿宋_GB2312"/>
                <w:sz w:val="24"/>
                <w:b/>
              </w:rPr>
              <w:t>2.</w:t>
            </w:r>
            <w:r>
              <w:rPr>
                <w:rFonts w:ascii="仿宋_GB2312" w:hAnsi="仿宋_GB2312" w:cs="仿宋_GB2312" w:eastAsia="仿宋_GB2312"/>
                <w:sz w:val="24"/>
                <w:b/>
              </w:rPr>
              <w:t>电缆应满足</w:t>
            </w:r>
            <w:r>
              <w:rPr>
                <w:rFonts w:ascii="仿宋_GB2312" w:hAnsi="仿宋_GB2312" w:cs="仿宋_GB2312" w:eastAsia="仿宋_GB2312"/>
                <w:sz w:val="24"/>
                <w:b/>
              </w:rPr>
              <w:t>GB/T12706-2020《额定电压1KV（Um=1.2KV）到35KV（Um=40.5KV）挤包绝缘电力电缆及附件》。供应商应提交拟投产品经有资质的第三方检测机构出具的型式试验报告，型式试验报告为有效的报告且与投标产品规格对应，单根电缆长度不得出现短段拼接。</w:t>
            </w:r>
          </w:p>
          <w:p>
            <w:pPr>
              <w:pStyle w:val="null3"/>
              <w:ind w:firstLine="482"/>
            </w:pPr>
            <w:r>
              <w:rPr>
                <w:rFonts w:ascii="仿宋_GB2312" w:hAnsi="仿宋_GB2312" w:cs="仿宋_GB2312" w:eastAsia="仿宋_GB2312"/>
                <w:sz w:val="24"/>
                <w:b/>
              </w:rPr>
              <w:t>3.供应商提供的材料必须符合国家、行业标准，供应商在响应文件须注明品牌并随附相关产品检测报告。</w:t>
            </w:r>
            <w:r>
              <w:rPr>
                <w:rFonts w:ascii="仿宋_GB2312" w:hAnsi="仿宋_GB2312" w:cs="仿宋_GB2312" w:eastAsia="仿宋_GB2312"/>
                <w:sz w:val="24"/>
                <w:b/>
              </w:rPr>
              <w:t>供应商拟投入使用的材料、设备须满足上述同技术参数要求。</w:t>
            </w:r>
            <w:r>
              <w:rPr>
                <w:rFonts w:ascii="仿宋_GB2312" w:hAnsi="仿宋_GB2312" w:cs="仿宋_GB2312" w:eastAsia="仿宋_GB2312"/>
                <w:sz w:val="24"/>
                <w:b/>
              </w:rPr>
              <w:t>所有原材料进场前须由成交供应商提供样品，采购人及采购人委托监理方考察认质，认定样品质量后封存，大批量材料进场时比对查验，上述常规因素供应商组价时须一并考虑。</w:t>
            </w:r>
            <w:r>
              <w:rPr>
                <w:rFonts w:ascii="仿宋_GB2312" w:hAnsi="仿宋_GB2312" w:cs="仿宋_GB2312" w:eastAsia="仿宋_GB2312"/>
                <w:sz w:val="24"/>
                <w:b/>
              </w:rPr>
              <w:t>在施工过程中成交供应商若提出性能、质量、品质、实力等同于或高于投标时的选定的产品或厂家时，必须经采购人书面同意，但由此增加的费用由供应商自行承担。</w:t>
            </w:r>
          </w:p>
          <w:p>
            <w:pPr>
              <w:pStyle w:val="null3"/>
              <w:ind w:firstLine="482"/>
            </w:pPr>
            <w:r>
              <w:rPr>
                <w:rFonts w:ascii="仿宋_GB2312" w:hAnsi="仿宋_GB2312" w:cs="仿宋_GB2312" w:eastAsia="仿宋_GB2312"/>
                <w:sz w:val="24"/>
                <w:b/>
              </w:rPr>
              <w:t>四</w:t>
            </w:r>
            <w:r>
              <w:rPr>
                <w:rFonts w:ascii="仿宋_GB2312" w:hAnsi="仿宋_GB2312" w:cs="仿宋_GB2312" w:eastAsia="仿宋_GB2312"/>
                <w:sz w:val="24"/>
                <w:b/>
              </w:rPr>
              <w:t>、商务要求</w:t>
            </w:r>
          </w:p>
          <w:p>
            <w:pPr>
              <w:pStyle w:val="null3"/>
              <w:ind w:firstLine="482"/>
            </w:pPr>
            <w:r>
              <w:rPr>
                <w:rFonts w:ascii="仿宋_GB2312" w:hAnsi="仿宋_GB2312" w:cs="仿宋_GB2312" w:eastAsia="仿宋_GB2312"/>
                <w:sz w:val="24"/>
                <w:b/>
              </w:rPr>
              <w:t>（一）工期：</w:t>
            </w:r>
            <w:r>
              <w:rPr>
                <w:rFonts w:ascii="仿宋_GB2312" w:hAnsi="仿宋_GB2312" w:cs="仿宋_GB2312" w:eastAsia="仿宋_GB2312"/>
                <w:sz w:val="24"/>
              </w:rPr>
              <w:t>自接到采购人开工通知之日起</w:t>
            </w:r>
            <w:r>
              <w:rPr>
                <w:rFonts w:ascii="仿宋_GB2312" w:hAnsi="仿宋_GB2312" w:cs="仿宋_GB2312" w:eastAsia="仿宋_GB2312"/>
                <w:sz w:val="24"/>
              </w:rPr>
              <w:t>30</w:t>
            </w:r>
            <w:r>
              <w:rPr>
                <w:rFonts w:ascii="仿宋_GB2312" w:hAnsi="仿宋_GB2312" w:cs="仿宋_GB2312" w:eastAsia="仿宋_GB2312"/>
                <w:sz w:val="24"/>
              </w:rPr>
              <w:t>个日历天</w:t>
            </w:r>
            <w:r>
              <w:rPr>
                <w:rFonts w:ascii="仿宋_GB2312" w:hAnsi="仿宋_GB2312" w:cs="仿宋_GB2312" w:eastAsia="仿宋_GB2312"/>
                <w:sz w:val="24"/>
              </w:rPr>
              <w:t>，具体以项目实际需求及采购人要求为准</w:t>
            </w:r>
            <w:r>
              <w:rPr>
                <w:rFonts w:ascii="仿宋_GB2312" w:hAnsi="仿宋_GB2312" w:cs="仿宋_GB2312" w:eastAsia="仿宋_GB2312"/>
                <w:sz w:val="24"/>
              </w:rPr>
              <w:t>。</w:t>
            </w:r>
          </w:p>
          <w:p>
            <w:pPr>
              <w:pStyle w:val="null3"/>
              <w:ind w:firstLine="482"/>
            </w:pPr>
            <w:r>
              <w:rPr>
                <w:rFonts w:ascii="仿宋_GB2312" w:hAnsi="仿宋_GB2312" w:cs="仿宋_GB2312" w:eastAsia="仿宋_GB2312"/>
                <w:sz w:val="24"/>
                <w:b/>
              </w:rPr>
              <w:t>（二）工程地点：</w:t>
            </w:r>
            <w:r>
              <w:rPr>
                <w:rFonts w:ascii="仿宋_GB2312" w:hAnsi="仿宋_GB2312" w:cs="仿宋_GB2312" w:eastAsia="仿宋_GB2312"/>
                <w:sz w:val="24"/>
              </w:rPr>
              <w:t>西安工程大学金花校区</w:t>
            </w:r>
            <w:r>
              <w:rPr>
                <w:rFonts w:ascii="仿宋_GB2312" w:hAnsi="仿宋_GB2312" w:cs="仿宋_GB2312" w:eastAsia="仿宋_GB2312"/>
                <w:sz w:val="24"/>
              </w:rPr>
              <w:t>。</w:t>
            </w:r>
          </w:p>
          <w:p>
            <w:pPr>
              <w:pStyle w:val="null3"/>
              <w:ind w:firstLine="482"/>
            </w:pPr>
            <w:r>
              <w:rPr>
                <w:rFonts w:ascii="仿宋_GB2312" w:hAnsi="仿宋_GB2312" w:cs="仿宋_GB2312" w:eastAsia="仿宋_GB2312"/>
                <w:sz w:val="24"/>
                <w:b/>
              </w:rPr>
              <w:t>（三）质量要求：</w:t>
            </w:r>
            <w:r>
              <w:rPr>
                <w:rFonts w:ascii="仿宋_GB2312" w:hAnsi="仿宋_GB2312" w:cs="仿宋_GB2312" w:eastAsia="仿宋_GB2312"/>
                <w:sz w:val="24"/>
              </w:rPr>
              <w:t>符合本工程</w:t>
            </w:r>
            <w:r>
              <w:rPr>
                <w:rFonts w:ascii="仿宋_GB2312" w:hAnsi="仿宋_GB2312" w:cs="仿宋_GB2312" w:eastAsia="仿宋_GB2312"/>
                <w:sz w:val="24"/>
              </w:rPr>
              <w:t>竞争性磋商</w:t>
            </w:r>
            <w:r>
              <w:rPr>
                <w:rFonts w:ascii="仿宋_GB2312" w:hAnsi="仿宋_GB2312" w:cs="仿宋_GB2312" w:eastAsia="仿宋_GB2312"/>
                <w:sz w:val="24"/>
              </w:rPr>
              <w:t>文件技术要求及国家、行业标准，达到合格。</w:t>
            </w:r>
          </w:p>
          <w:p>
            <w:pPr>
              <w:pStyle w:val="null3"/>
              <w:ind w:firstLine="482"/>
            </w:pPr>
            <w:r>
              <w:rPr>
                <w:rFonts w:ascii="仿宋_GB2312" w:hAnsi="仿宋_GB2312" w:cs="仿宋_GB2312" w:eastAsia="仿宋_GB2312"/>
                <w:sz w:val="24"/>
                <w:b/>
              </w:rPr>
              <w:t>（四）付款方式：</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合同签订后，待成交供应商提供符合采购人要求的银行出具的预付款保函后，</w:t>
            </w:r>
            <w:r>
              <w:rPr>
                <w:rFonts w:ascii="仿宋_GB2312" w:hAnsi="仿宋_GB2312" w:cs="仿宋_GB2312" w:eastAsia="仿宋_GB2312"/>
                <w:sz w:val="24"/>
              </w:rPr>
              <w:t>采购人</w:t>
            </w:r>
            <w:r>
              <w:rPr>
                <w:rFonts w:ascii="仿宋_GB2312" w:hAnsi="仿宋_GB2312" w:cs="仿宋_GB2312" w:eastAsia="仿宋_GB2312"/>
                <w:sz w:val="24"/>
              </w:rPr>
              <w:t>支付合同总价款的</w:t>
            </w:r>
            <w:r>
              <w:rPr>
                <w:rFonts w:ascii="仿宋_GB2312" w:hAnsi="仿宋_GB2312" w:cs="仿宋_GB2312" w:eastAsia="仿宋_GB2312"/>
                <w:sz w:val="24"/>
              </w:rPr>
              <w:t>40%</w:t>
            </w:r>
            <w:r>
              <w:rPr>
                <w:rFonts w:ascii="仿宋_GB2312" w:hAnsi="仿宋_GB2312" w:cs="仿宋_GB2312" w:eastAsia="仿宋_GB2312"/>
                <w:sz w:val="24"/>
              </w:rPr>
              <w:t>作为预付款。</w:t>
            </w:r>
            <w:r>
              <w:rPr>
                <w:rFonts w:ascii="仿宋_GB2312" w:hAnsi="仿宋_GB2312" w:cs="仿宋_GB2312" w:eastAsia="仿宋_GB2312"/>
                <w:sz w:val="24"/>
              </w:rPr>
              <w:t>待</w:t>
            </w:r>
            <w:r>
              <w:rPr>
                <w:rFonts w:ascii="仿宋_GB2312" w:hAnsi="仿宋_GB2312" w:cs="仿宋_GB2312" w:eastAsia="仿宋_GB2312"/>
                <w:sz w:val="24"/>
              </w:rPr>
              <w:t>正式审计报告出具后采购人办理完</w:t>
            </w:r>
            <w:r>
              <w:rPr>
                <w:rFonts w:ascii="仿宋_GB2312" w:hAnsi="仿宋_GB2312" w:cs="仿宋_GB2312" w:eastAsia="仿宋_GB2312"/>
                <w:sz w:val="24"/>
              </w:rPr>
              <w:t>成</w:t>
            </w:r>
            <w:r>
              <w:rPr>
                <w:rFonts w:ascii="仿宋_GB2312" w:hAnsi="仿宋_GB2312" w:cs="仿宋_GB2312" w:eastAsia="仿宋_GB2312"/>
                <w:sz w:val="24"/>
              </w:rPr>
              <w:t>校内工程款支付审批手续后，支付至工程审定造价的</w:t>
            </w:r>
            <w:r>
              <w:rPr>
                <w:rFonts w:ascii="仿宋_GB2312" w:hAnsi="仿宋_GB2312" w:cs="仿宋_GB2312" w:eastAsia="仿宋_GB2312"/>
                <w:sz w:val="24"/>
              </w:rPr>
              <w:t>95%</w:t>
            </w:r>
            <w:r>
              <w:rPr>
                <w:rFonts w:ascii="仿宋_GB2312" w:hAnsi="仿宋_GB2312" w:cs="仿宋_GB2312" w:eastAsia="仿宋_GB2312"/>
                <w:sz w:val="24"/>
              </w:rPr>
              <w:t>；剩余</w:t>
            </w:r>
            <w:r>
              <w:rPr>
                <w:rFonts w:ascii="仿宋_GB2312" w:hAnsi="仿宋_GB2312" w:cs="仿宋_GB2312" w:eastAsia="仿宋_GB2312"/>
                <w:sz w:val="24"/>
              </w:rPr>
              <w:t>5%</w:t>
            </w:r>
            <w:r>
              <w:rPr>
                <w:rFonts w:ascii="仿宋_GB2312" w:hAnsi="仿宋_GB2312" w:cs="仿宋_GB2312" w:eastAsia="仿宋_GB2312"/>
                <w:sz w:val="24"/>
              </w:rPr>
              <w:t>余款在成交供应商履行</w:t>
            </w:r>
            <w:r>
              <w:rPr>
                <w:rFonts w:ascii="仿宋_GB2312" w:hAnsi="仿宋_GB2312" w:cs="仿宋_GB2312" w:eastAsia="仿宋_GB2312"/>
                <w:sz w:val="24"/>
              </w:rPr>
              <w:t>完</w:t>
            </w:r>
            <w:r>
              <w:rPr>
                <w:rFonts w:ascii="仿宋_GB2312" w:hAnsi="仿宋_GB2312" w:cs="仿宋_GB2312" w:eastAsia="仿宋_GB2312"/>
                <w:sz w:val="24"/>
              </w:rPr>
              <w:t>保修义务</w:t>
            </w:r>
            <w:r>
              <w:rPr>
                <w:rFonts w:ascii="仿宋_GB2312" w:hAnsi="仿宋_GB2312" w:cs="仿宋_GB2312" w:eastAsia="仿宋_GB2312"/>
                <w:sz w:val="24"/>
              </w:rPr>
              <w:t>且</w:t>
            </w:r>
            <w:r>
              <w:rPr>
                <w:rFonts w:ascii="仿宋_GB2312" w:hAnsi="仿宋_GB2312" w:cs="仿宋_GB2312" w:eastAsia="仿宋_GB2312"/>
                <w:sz w:val="24"/>
              </w:rPr>
              <w:t>无质量问题后支付。</w:t>
            </w:r>
            <w:r>
              <w:rPr>
                <w:rFonts w:ascii="仿宋_GB2312" w:hAnsi="仿宋_GB2312" w:cs="仿宋_GB2312" w:eastAsia="仿宋_GB2312"/>
                <w:sz w:val="24"/>
              </w:rPr>
              <w:t>每次</w:t>
            </w:r>
            <w:r>
              <w:rPr>
                <w:rFonts w:ascii="仿宋_GB2312" w:hAnsi="仿宋_GB2312" w:cs="仿宋_GB2312" w:eastAsia="仿宋_GB2312"/>
                <w:sz w:val="24"/>
              </w:rPr>
              <w:t>付款前，成交供应商需向采购人出具合法有效的等额增值税专用或普通发票</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本工程施工结算阶段，成交供应商应据实申报决算资料及组价，经审计后审减率超出</w:t>
            </w:r>
            <w:r>
              <w:rPr>
                <w:rFonts w:ascii="仿宋_GB2312" w:hAnsi="仿宋_GB2312" w:cs="仿宋_GB2312" w:eastAsia="仿宋_GB2312"/>
                <w:sz w:val="24"/>
              </w:rPr>
              <w:t>10%</w:t>
            </w:r>
            <w:r>
              <w:rPr>
                <w:rFonts w:ascii="仿宋_GB2312" w:hAnsi="仿宋_GB2312" w:cs="仿宋_GB2312" w:eastAsia="仿宋_GB2312"/>
                <w:sz w:val="24"/>
              </w:rPr>
              <w:t>（含</w:t>
            </w:r>
            <w:r>
              <w:rPr>
                <w:rFonts w:ascii="仿宋_GB2312" w:hAnsi="仿宋_GB2312" w:cs="仿宋_GB2312" w:eastAsia="仿宋_GB2312"/>
                <w:sz w:val="24"/>
              </w:rPr>
              <w:t>10%</w:t>
            </w:r>
            <w:r>
              <w:rPr>
                <w:rFonts w:ascii="仿宋_GB2312" w:hAnsi="仿宋_GB2312" w:cs="仿宋_GB2312" w:eastAsia="仿宋_GB2312"/>
                <w:sz w:val="24"/>
              </w:rPr>
              <w:t>）时，发生的全部审计费由成交供应商承担。</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本工程所发生的水电费按工程审定造价的</w:t>
            </w:r>
            <w:r>
              <w:rPr>
                <w:rFonts w:ascii="仿宋_GB2312" w:hAnsi="仿宋_GB2312" w:cs="仿宋_GB2312" w:eastAsia="仿宋_GB2312"/>
                <w:sz w:val="24"/>
              </w:rPr>
              <w:t>5</w:t>
            </w:r>
            <w:r>
              <w:rPr>
                <w:rFonts w:ascii="仿宋_GB2312" w:hAnsi="仿宋_GB2312" w:cs="仿宋_GB2312" w:eastAsia="仿宋_GB2312"/>
                <w:sz w:val="24"/>
              </w:rPr>
              <w:t>‰（其中水费为</w:t>
            </w:r>
            <w:r>
              <w:rPr>
                <w:rFonts w:ascii="仿宋_GB2312" w:hAnsi="仿宋_GB2312" w:cs="仿宋_GB2312" w:eastAsia="仿宋_GB2312"/>
                <w:sz w:val="24"/>
              </w:rPr>
              <w:t>2</w:t>
            </w:r>
            <w:r>
              <w:rPr>
                <w:rFonts w:ascii="仿宋_GB2312" w:hAnsi="仿宋_GB2312" w:cs="仿宋_GB2312" w:eastAsia="仿宋_GB2312"/>
                <w:sz w:val="24"/>
              </w:rPr>
              <w:t>‰，电费为</w:t>
            </w:r>
            <w:r>
              <w:rPr>
                <w:rFonts w:ascii="仿宋_GB2312" w:hAnsi="仿宋_GB2312" w:cs="仿宋_GB2312" w:eastAsia="仿宋_GB2312"/>
                <w:sz w:val="24"/>
              </w:rPr>
              <w:t>3</w:t>
            </w:r>
            <w:r>
              <w:rPr>
                <w:rFonts w:ascii="仿宋_GB2312" w:hAnsi="仿宋_GB2312" w:cs="仿宋_GB2312" w:eastAsia="仿宋_GB2312"/>
                <w:sz w:val="24"/>
              </w:rPr>
              <w:t>‰）从工程款项中一次性扣除。</w:t>
            </w:r>
          </w:p>
          <w:p>
            <w:pPr>
              <w:pStyle w:val="null3"/>
              <w:ind w:firstLine="482"/>
            </w:pPr>
            <w:r>
              <w:rPr>
                <w:rFonts w:ascii="仿宋_GB2312" w:hAnsi="仿宋_GB2312" w:cs="仿宋_GB2312" w:eastAsia="仿宋_GB2312"/>
                <w:sz w:val="24"/>
                <w:b/>
              </w:rPr>
              <w:t>（五）质量保证期</w:t>
            </w:r>
            <w:r>
              <w:rPr>
                <w:rFonts w:ascii="仿宋_GB2312" w:hAnsi="仿宋_GB2312" w:cs="仿宋_GB2312" w:eastAsia="仿宋_GB2312"/>
                <w:sz w:val="24"/>
                <w:b/>
              </w:rPr>
              <w:t>及保修要求</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质量保证期</w:t>
            </w:r>
            <w:r>
              <w:rPr>
                <w:rFonts w:ascii="仿宋_GB2312" w:hAnsi="仿宋_GB2312" w:cs="仿宋_GB2312" w:eastAsia="仿宋_GB2312"/>
                <w:sz w:val="24"/>
              </w:rPr>
              <w:t>：自</w:t>
            </w:r>
            <w:r>
              <w:rPr>
                <w:rFonts w:ascii="仿宋_GB2312" w:hAnsi="仿宋_GB2312" w:cs="仿宋_GB2312" w:eastAsia="仿宋_GB2312"/>
                <w:sz w:val="24"/>
              </w:rPr>
              <w:t>本项目竣工验收合格通过之日起</w:t>
            </w:r>
            <w:r>
              <w:rPr>
                <w:rFonts w:ascii="仿宋_GB2312" w:hAnsi="仿宋_GB2312" w:cs="仿宋_GB2312" w:eastAsia="仿宋_GB2312"/>
                <w:sz w:val="24"/>
              </w:rPr>
              <w:t>2</w:t>
            </w:r>
            <w:r>
              <w:rPr>
                <w:rFonts w:ascii="仿宋_GB2312" w:hAnsi="仿宋_GB2312" w:cs="仿宋_GB2312" w:eastAsia="仿宋_GB2312"/>
                <w:sz w:val="24"/>
              </w:rPr>
              <w:t>年</w:t>
            </w:r>
            <w:r>
              <w:rPr>
                <w:rFonts w:ascii="仿宋_GB2312" w:hAnsi="仿宋_GB2312" w:cs="仿宋_GB2312" w:eastAsia="仿宋_GB2312"/>
                <w:sz w:val="24"/>
              </w:rPr>
              <w:t>，供应商可在此基础上根据自身情况自主响应予以延长</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保修要求：质保期内如因施工及设备质量问题需要维修，成交供应商应保证</w:t>
            </w:r>
            <w:r>
              <w:rPr>
                <w:rFonts w:ascii="仿宋_GB2312" w:hAnsi="仿宋_GB2312" w:cs="仿宋_GB2312" w:eastAsia="仿宋_GB2312"/>
                <w:sz w:val="24"/>
              </w:rPr>
              <w:t>48</w:t>
            </w:r>
            <w:r>
              <w:rPr>
                <w:rFonts w:ascii="仿宋_GB2312" w:hAnsi="仿宋_GB2312" w:cs="仿宋_GB2312" w:eastAsia="仿宋_GB2312"/>
                <w:sz w:val="24"/>
              </w:rPr>
              <w:t>小时内提供维修方案，</w:t>
            </w:r>
            <w:r>
              <w:rPr>
                <w:rFonts w:ascii="仿宋_GB2312" w:hAnsi="仿宋_GB2312" w:cs="仿宋_GB2312" w:eastAsia="仿宋_GB2312"/>
                <w:sz w:val="24"/>
              </w:rPr>
              <w:t>5</w:t>
            </w:r>
            <w:r>
              <w:rPr>
                <w:rFonts w:ascii="仿宋_GB2312" w:hAnsi="仿宋_GB2312" w:cs="仿宋_GB2312" w:eastAsia="仿宋_GB2312"/>
                <w:sz w:val="24"/>
              </w:rPr>
              <w:t>天内完成维修，无条件免费维修，否则采购人有权另行委托他人完成，所发生的费用均由成交供应商承担。</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符合本工程竞争性磋商文件技术要求及国家、行业标准，达到合格。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供应商可按照磋商文件中规定的时间及地点前往项目地点踏勘，以充分了解工地位置、情况、道路、储存空间、装卸限制及任何其他足以影响响应报价的情况，供应商因忽视或误解工地情况而导致的其提出的任何索赔或工期延长申请将不被批准。凡因供应商对竞争性磋商文件阅读疏忽或误解，或因对施工现场、施工环境、市场行情等了解不清而造成的后果和风险，由供应商自行负责。在施工期间，供应商自行协调施工现场周边社会关系，不得以协调不力而影响工程进度，所发生的一切费用应在报价时加以考虑。 2.磋商报价时各供应商应根据文件说明、做法、施工组织设计、施工验收规范、现场条件、工程特点等内容编制磋商报价。 3.本工程为包工包料、包工期、包质量、包安全、包文明施工的施工总承包。工程发包采用固定综合单价合同，投标综合单价在约定的范围内不变。招标范围内执行供应商成交综合单价，工程量据实结算。施工合同以外经采购人批准的工程价款确认办法：合同中已有适用于变更工程的价格，按合同已有价格；合同中没有适用的单价，由供应商提出变更认价报告，采购人对主材认价，相关取费参照《陕西省建设工程费用规则（2025）》、《陕西省房屋建筑与装饰工程消耗量定额（2025）》、《陕西省通用安装工程消耗量定额（2025）》及其配套的2025基价表和采购人相关规定执行。 4.本项目招标工程量为暂定量，结算时，依据采购人审定的工程量，按实际发生量据实结算，工程价款结算时依据最终价款和一次报价的下浮比例执行。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响应保证金须从供应商户名支付，如从个人户名或非供应商户名支付，将被拒绝，视为自动放弃投标权利（该个人是供应商的情形除外）；响应保证金缴纳时间：开标时间之前；以保函形式交纳响应保证金的，供应商应在投标截止时间前将保函上传至政府采购电子化交易平台，同时将保函扫描成清晰的PDF文件，发送至邮箱lutan2@qq.com（邮件命名：项目名称+项目编号）；供应商应在响应文件中附保函复印件。保函必须由具有开具投标保函资格的单位开具；若供应商违约，开具保函单位承担连带责任； 2.响应保证金的提交金额、时间不满足磋商文件要求的，投标无效； 3.供应商需要在线提交所有通过电子化交易平台实施的政府采购项目的响应文件，同时，线下提交纸质响应文件正本1份、副本1份，纸质响应文件正副本分别胶装，标明供应商名称密封递交，递交截止时间同在线递交电子响应文件截止时间一致，线下递交文件地点：开瑞项目管理有限公司（陕西省西安市莲湖区高新二路1号招商银行大厦19层前台，联系人：路坦、屈延洁，联系电话：17320095323、17391959109）,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供应商为向采购人提供工程及相应服务的法人或其他组织；</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建设行政主管部门颁发的电力工程施工总承包三级（含）以上资质；同时具备合法有效的《承装（修、试）电力设施许可证》三级（含）以上（许可类别须同时包含承装类、承修类、承试类）；并具备有效的安全生产许可证，并在人员、设备、资金等方面具备相应的能力；</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供应商拟派项目经理资质和专业要求</w:t>
            </w:r>
          </w:p>
        </w:tc>
        <w:tc>
          <w:tcPr>
            <w:tcW w:type="dxa" w:w="3322"/>
          </w:tcPr>
          <w:p>
            <w:pPr>
              <w:pStyle w:val="null3"/>
            </w:pPr>
            <w:r>
              <w:rPr>
                <w:rFonts w:ascii="仿宋_GB2312" w:hAnsi="仿宋_GB2312" w:cs="仿宋_GB2312" w:eastAsia="仿宋_GB2312"/>
              </w:rPr>
              <w:t>供应商拟派项目经理须具备合法有效的机电工程专业注册建造师二级（含）以上执业资格，同时具备有效的安全生产考核合格证书（安全B证），在本单位注册且无在建工程；</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同时拟派项目经理未被列入“信用中国”网站的“重点领域严重失信主体名单”中的“安全生产严重失信主体名单（自然人）”；未被“中国执行信息公开网”列入失信被执行人。</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供应商及其拟派项目经理须在“陕西省住房和城乡建设厅”官方网站可查询；如供应商为外省进陕企业，还须同时提供“陕西省住房和城乡建设厅”官网企业库外省进陕施工企业信息首页截图。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供应商应提交的资格审查资料.docx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 具体内容及要求以“第六章 磋商办法 6.4.2评分标准”为准。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供应商名称是否与营业执照、资质证书、安全生产许可证一致</w:t>
            </w:r>
          </w:p>
        </w:tc>
        <w:tc>
          <w:tcPr>
            <w:tcW w:type="dxa" w:w="3322"/>
          </w:tcPr>
          <w:p>
            <w:pPr>
              <w:pStyle w:val="null3"/>
            </w:pPr>
            <w:r>
              <w:rPr>
                <w:rFonts w:ascii="仿宋_GB2312" w:hAnsi="仿宋_GB2312" w:cs="仿宋_GB2312" w:eastAsia="仿宋_GB2312"/>
              </w:rPr>
              <w:t>供应商名称应与营业执照、资质证书、安全生产许可证一致；</w:t>
            </w:r>
          </w:p>
        </w:tc>
        <w:tc>
          <w:tcPr>
            <w:tcW w:type="dxa" w:w="1661"/>
          </w:tcPr>
          <w:p>
            <w:pPr>
              <w:pStyle w:val="null3"/>
            </w:pPr>
            <w:r>
              <w:rPr>
                <w:rFonts w:ascii="仿宋_GB2312" w:hAnsi="仿宋_GB2312" w:cs="仿宋_GB2312" w:eastAsia="仿宋_GB2312"/>
              </w:rPr>
              <w:t>响应文件封面 供应商应提交的资格审查资料.docx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响应函是否按磋商文件要求签署、盖章的</w:t>
            </w:r>
          </w:p>
        </w:tc>
        <w:tc>
          <w:tcPr>
            <w:tcW w:type="dxa" w:w="3322"/>
          </w:tcPr>
          <w:p>
            <w:pPr>
              <w:pStyle w:val="null3"/>
            </w:pPr>
            <w:r>
              <w:rPr>
                <w:rFonts w:ascii="仿宋_GB2312" w:hAnsi="仿宋_GB2312" w:cs="仿宋_GB2312" w:eastAsia="仿宋_GB2312"/>
              </w:rPr>
              <w:t>响应函应需在项目电子化交易系统中按要求填写《响应函》、《报价函》完成承诺并进行电子签章；</w:t>
            </w:r>
          </w:p>
        </w:tc>
        <w:tc>
          <w:tcPr>
            <w:tcW w:type="dxa" w:w="1661"/>
          </w:tcPr>
          <w:p>
            <w:pPr>
              <w:pStyle w:val="null3"/>
            </w:pPr>
            <w:r>
              <w:rPr>
                <w:rFonts w:ascii="仿宋_GB2312" w:hAnsi="仿宋_GB2312" w:cs="仿宋_GB2312" w:eastAsia="仿宋_GB2312"/>
              </w:rPr>
              <w:t>已标价工程量清单 供应商应提交的资格审查资料.docx 中小企业声明函 进度管控与应急方案.docx 企业业绩.docx 技术服务合同条款及其他商务要求应答表 施工总体规划部署及施工方案.docx 质量管控体系方案.docx 响应文件封面 资源配置保障方案.docx 主要材料技术参数、品质表.docx 安全文明施工方案.docx 残疾人福利性单位声明函 法定代表人证明书及授权书.docx 报价函 标的清单 响应函 拟派项目经理职称、学历、业绩证明材料.docx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响应文件报价是否唯一</w:t>
            </w:r>
          </w:p>
        </w:tc>
        <w:tc>
          <w:tcPr>
            <w:tcW w:type="dxa" w:w="3322"/>
          </w:tcPr>
          <w:p>
            <w:pPr>
              <w:pStyle w:val="null3"/>
            </w:pPr>
            <w:r>
              <w:rPr>
                <w:rFonts w:ascii="仿宋_GB2312" w:hAnsi="仿宋_GB2312" w:cs="仿宋_GB2312" w:eastAsia="仿宋_GB2312"/>
              </w:rPr>
              <w:t>每次报价只能有一个有效报价，且未超出采购预算及采购最高限价；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工期、质量要求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标的清单 技术服务合同条款及其他商务要求应答表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响应文件是否存在无效磋商的情形及未实质性响应磋商文件的情况</w:t>
            </w:r>
          </w:p>
        </w:tc>
        <w:tc>
          <w:tcPr>
            <w:tcW w:type="dxa" w:w="3322"/>
          </w:tcPr>
          <w:p>
            <w:pPr>
              <w:pStyle w:val="null3"/>
            </w:pPr>
            <w:r>
              <w:rPr>
                <w:rFonts w:ascii="仿宋_GB2312" w:hAnsi="仿宋_GB2312" w:cs="仿宋_GB2312" w:eastAsia="仿宋_GB2312"/>
              </w:rPr>
              <w:t>响应文件未存在法律法规或磋商文件明确规定的其他被视为“无效磋商”的情形及未实质性响应磋商文件的情况；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已标价工程量清单 供应商应提交的资格审查资料.docx 中小企业声明函 进度管控与应急方案.docx 企业业绩.docx 技术服务合同条款及其他商务要求应答表 施工总体规划部署及施工方案.docx 质量管控体系方案.docx 响应文件封面 资源配置保障方案.docx 主要材料技术参数、品质表.docx 安全文明施工方案.docx 残疾人福利性单位声明函 法定代表人证明书及授权书.docx 报价函 标的清单 响应函 拟派项目经理职称、学历、业绩证明材料.docx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已标价工程量清单扉页是否加盖有注册或登记在工程造价咨询企业的造价人员签字并盖执业印章(委托第三方造价咨询企业需提供相关证明材料)</w:t>
            </w:r>
          </w:p>
        </w:tc>
        <w:tc>
          <w:tcPr>
            <w:tcW w:type="dxa" w:w="3322"/>
          </w:tcPr>
          <w:p>
            <w:pPr>
              <w:pStyle w:val="null3"/>
            </w:pPr>
            <w:r>
              <w:rPr>
                <w:rFonts w:ascii="仿宋_GB2312" w:hAnsi="仿宋_GB2312" w:cs="仿宋_GB2312" w:eastAsia="仿宋_GB2312"/>
              </w:rPr>
              <w:t>已标价工程量清单扉页已加盖有注册或登记在工程造价咨询企业的造价人员签字并盖执业印章(委托第三方造价咨询企业需提供相关证明材料)；</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供应商应授权合法的人员参加本项目竞争性磋商活动全过程</w:t>
            </w:r>
          </w:p>
        </w:tc>
        <w:tc>
          <w:tcPr>
            <w:tcW w:type="dxa" w:w="3322"/>
          </w:tcPr>
          <w:p>
            <w:pPr>
              <w:pStyle w:val="null3"/>
            </w:pPr>
            <w:r>
              <w:rPr>
                <w:rFonts w:ascii="仿宋_GB2312" w:hAnsi="仿宋_GB2312" w:cs="仿宋_GB2312" w:eastAsia="仿宋_GB2312"/>
              </w:rPr>
              <w:t>供应商应授权合法的人员参加本项目竞争性磋商会议全过程，法定代表人参加竞争性磋商会议的，应出具法定代表人证明书以及法定代表人合法有效的身份证，且应与营业执照上信息一致。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供应商提供自2023年7月1日至本项目响应文件递交截止时间前已承接的类似业绩证明材料，每提供1项的得2分，最多得10分。未提供的不得分。 评审依据：提供施工合同证明材料复印件，时间以合同签订时间为准。 注：类似业绩证明材料意指电力工程改造或包含电力施工内容的业绩。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拟派项目经理职称</w:t>
            </w:r>
          </w:p>
        </w:tc>
        <w:tc>
          <w:tcPr>
            <w:tcW w:type="dxa" w:w="2492"/>
          </w:tcPr>
          <w:p>
            <w:pPr>
              <w:pStyle w:val="null3"/>
            </w:pPr>
            <w:r>
              <w:rPr>
                <w:rFonts w:ascii="仿宋_GB2312" w:hAnsi="仿宋_GB2312" w:cs="仿宋_GB2312" w:eastAsia="仿宋_GB2312"/>
              </w:rPr>
              <w:t>拟派项目经理具备中级及以上职称证书的得3分，其余情况不得分。 评审依据：评审时以供应商提供的加盖供应商公章的拟派项目经理最高职称证书的扫描件或复印件为准，提供多个职称证明材料的，以最高职称材料为准，未提供的不得分。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拟派项目经理职称、学历、业绩证明材料.docx</w:t>
            </w:r>
          </w:p>
        </w:tc>
      </w:tr>
      <w:tr>
        <w:tc>
          <w:tcPr>
            <w:tcW w:type="dxa" w:w="831"/>
            <w:vMerge/>
          </w:tcPr>
          <w:p/>
        </w:tc>
        <w:tc>
          <w:tcPr>
            <w:tcW w:type="dxa" w:w="1661"/>
          </w:tcPr>
          <w:p>
            <w:pPr>
              <w:pStyle w:val="null3"/>
            </w:pPr>
            <w:r>
              <w:rPr>
                <w:rFonts w:ascii="仿宋_GB2312" w:hAnsi="仿宋_GB2312" w:cs="仿宋_GB2312" w:eastAsia="仿宋_GB2312"/>
              </w:rPr>
              <w:t>拟派项目经理学历</w:t>
            </w:r>
          </w:p>
        </w:tc>
        <w:tc>
          <w:tcPr>
            <w:tcW w:type="dxa" w:w="2492"/>
          </w:tcPr>
          <w:p>
            <w:pPr>
              <w:pStyle w:val="null3"/>
            </w:pPr>
            <w:r>
              <w:rPr>
                <w:rFonts w:ascii="仿宋_GB2312" w:hAnsi="仿宋_GB2312" w:cs="仿宋_GB2312" w:eastAsia="仿宋_GB2312"/>
              </w:rPr>
              <w:t>拟派项目经理具备大专及以上学历的得2分；其他情况不得分。 评审依据：以供应商提供的加盖公章的拟派项目经理学历证书的扫描件或复印件为准，提供多个学历或学位证书的，以最高学历为准，未提供的不得分。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拟派项目经理职称、学历、业绩证明材料.docx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供应商提供拟派项目经理自2023年7月1日以来至今已完成的类似项目业绩证明材料的（在该项目中担任项目经理一职）提供1项的得5分。未提供的不得分。 评审依据：（类似业绩应提供合同扫描件或复印件加盖供应商公章，以合同签订时间所体现的时间为准，合同中应体现的项目经理姓名。可与企业业绩重复。 注：类似业绩证明材料意指电力工程改造或包含电力施工内容的业绩。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拟派项目经理职称、学历、业绩证明材料.docx</w:t>
            </w:r>
          </w:p>
        </w:tc>
      </w:tr>
      <w:tr>
        <w:tc>
          <w:tcPr>
            <w:tcW w:type="dxa" w:w="831"/>
            <w:vMerge/>
          </w:tcPr>
          <w:p/>
        </w:tc>
        <w:tc>
          <w:tcPr>
            <w:tcW w:type="dxa" w:w="1661"/>
          </w:tcPr>
          <w:p>
            <w:pPr>
              <w:pStyle w:val="null3"/>
            </w:pPr>
            <w:r>
              <w:rPr>
                <w:rFonts w:ascii="仿宋_GB2312" w:hAnsi="仿宋_GB2312" w:cs="仿宋_GB2312" w:eastAsia="仿宋_GB2312"/>
              </w:rPr>
              <w:t>拟投入的主要材料1</w:t>
            </w:r>
          </w:p>
        </w:tc>
        <w:tc>
          <w:tcPr>
            <w:tcW w:type="dxa" w:w="2492"/>
          </w:tcPr>
          <w:p>
            <w:pPr>
              <w:pStyle w:val="null3"/>
            </w:pPr>
            <w:r>
              <w:rPr>
                <w:rFonts w:ascii="仿宋_GB2312" w:hAnsi="仿宋_GB2312" w:cs="仿宋_GB2312" w:eastAsia="仿宋_GB2312"/>
              </w:rPr>
              <w:t>1.供应商针对本项目提供的主要材料（设备）技术参数、品质填写完整，无缺漏项的得2分。未提供或提供不全或拟投主要材料（设备）技术参数、品质不明确的本项不得分。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主要材料技术参数、品质表.docx</w:t>
            </w:r>
          </w:p>
        </w:tc>
      </w:tr>
      <w:tr>
        <w:tc>
          <w:tcPr>
            <w:tcW w:type="dxa" w:w="831"/>
            <w:vMerge/>
          </w:tcPr>
          <w:p/>
        </w:tc>
        <w:tc>
          <w:tcPr>
            <w:tcW w:type="dxa" w:w="1661"/>
          </w:tcPr>
          <w:p>
            <w:pPr>
              <w:pStyle w:val="null3"/>
            </w:pPr>
            <w:r>
              <w:rPr>
                <w:rFonts w:ascii="仿宋_GB2312" w:hAnsi="仿宋_GB2312" w:cs="仿宋_GB2312" w:eastAsia="仿宋_GB2312"/>
              </w:rPr>
              <w:t>拟投入的主要材料2</w:t>
            </w:r>
          </w:p>
        </w:tc>
        <w:tc>
          <w:tcPr>
            <w:tcW w:type="dxa" w:w="2492"/>
          </w:tcPr>
          <w:p>
            <w:pPr>
              <w:pStyle w:val="null3"/>
            </w:pPr>
            <w:r>
              <w:rPr>
                <w:rFonts w:ascii="仿宋_GB2312" w:hAnsi="仿宋_GB2312" w:cs="仿宋_GB2312" w:eastAsia="仿宋_GB2312"/>
              </w:rPr>
              <w:t>2.根据供应商针对本项目拟投入主要材料（设备）产品选型情况、品质进行评审： 主要材料（设备）品质的市场应用比例高、与本次项目契合度高、为主流产品且符合相关要求，相关证明材料完整、清晰的得3分； 主要材料（设备）品质的市场应用比例偏低、与本次项目契合度较差，相关证明材料部分缺失的得2分； 主要材料（设备）品质的市场占有率一般，相关证明材料不完整、缺失严重的得1分；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主要材料技术参数、品质表.docx</w:t>
            </w:r>
          </w:p>
        </w:tc>
      </w:tr>
      <w:tr>
        <w:tc>
          <w:tcPr>
            <w:tcW w:type="dxa" w:w="831"/>
            <w:vMerge/>
          </w:tcPr>
          <w:p/>
        </w:tc>
        <w:tc>
          <w:tcPr>
            <w:tcW w:type="dxa" w:w="1661"/>
          </w:tcPr>
          <w:p>
            <w:pPr>
              <w:pStyle w:val="null3"/>
            </w:pPr>
            <w:r>
              <w:rPr>
                <w:rFonts w:ascii="仿宋_GB2312" w:hAnsi="仿宋_GB2312" w:cs="仿宋_GB2312" w:eastAsia="仿宋_GB2312"/>
              </w:rPr>
              <w:t>施工组织设计1</w:t>
            </w:r>
          </w:p>
        </w:tc>
        <w:tc>
          <w:tcPr>
            <w:tcW w:type="dxa" w:w="2492"/>
          </w:tcPr>
          <w:p>
            <w:pPr>
              <w:pStyle w:val="null3"/>
            </w:pPr>
            <w:r>
              <w:rPr>
                <w:rFonts w:ascii="仿宋_GB2312" w:hAnsi="仿宋_GB2312" w:cs="仿宋_GB2312" w:eastAsia="仿宋_GB2312"/>
              </w:rPr>
              <w:t>1.供应商提供的施工总体规划部署及施工方案需包含①项目施工总体思路；②施工实施阶段划分；③关键工序技术把控措施，共3项内容，每项满分3分，总分9分。 其中，每项以具体内容与本项目及工程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施工总体规划部署及施工方案.docx</w:t>
            </w:r>
          </w:p>
        </w:tc>
      </w:tr>
      <w:tr>
        <w:tc>
          <w:tcPr>
            <w:tcW w:type="dxa" w:w="831"/>
            <w:vMerge/>
          </w:tcPr>
          <w:p/>
        </w:tc>
        <w:tc>
          <w:tcPr>
            <w:tcW w:type="dxa" w:w="1661"/>
          </w:tcPr>
          <w:p>
            <w:pPr>
              <w:pStyle w:val="null3"/>
            </w:pPr>
            <w:r>
              <w:rPr>
                <w:rFonts w:ascii="仿宋_GB2312" w:hAnsi="仿宋_GB2312" w:cs="仿宋_GB2312" w:eastAsia="仿宋_GB2312"/>
              </w:rPr>
              <w:t>施工组织设计2</w:t>
            </w:r>
          </w:p>
        </w:tc>
        <w:tc>
          <w:tcPr>
            <w:tcW w:type="dxa" w:w="2492"/>
          </w:tcPr>
          <w:p>
            <w:pPr>
              <w:pStyle w:val="null3"/>
            </w:pPr>
            <w:r>
              <w:rPr>
                <w:rFonts w:ascii="仿宋_GB2312" w:hAnsi="仿宋_GB2312" w:cs="仿宋_GB2312" w:eastAsia="仿宋_GB2312"/>
              </w:rPr>
              <w:t>2.供应商提供的质量管控体系方案需包含①质量目标及管控措施；②全流程质量检验、整改机制；③质量通病防治措施，共3项内容，每项满分3分，总分9分。 其中，每项以具体内容与本项目及工程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质量管控体系方案.docx</w:t>
            </w:r>
          </w:p>
        </w:tc>
      </w:tr>
      <w:tr>
        <w:tc>
          <w:tcPr>
            <w:tcW w:type="dxa" w:w="831"/>
            <w:vMerge/>
          </w:tcPr>
          <w:p/>
        </w:tc>
        <w:tc>
          <w:tcPr>
            <w:tcW w:type="dxa" w:w="1661"/>
          </w:tcPr>
          <w:p>
            <w:pPr>
              <w:pStyle w:val="null3"/>
            </w:pPr>
            <w:r>
              <w:rPr>
                <w:rFonts w:ascii="仿宋_GB2312" w:hAnsi="仿宋_GB2312" w:cs="仿宋_GB2312" w:eastAsia="仿宋_GB2312"/>
              </w:rPr>
              <w:t>施工组织设计3</w:t>
            </w:r>
          </w:p>
        </w:tc>
        <w:tc>
          <w:tcPr>
            <w:tcW w:type="dxa" w:w="2492"/>
          </w:tcPr>
          <w:p>
            <w:pPr>
              <w:pStyle w:val="null3"/>
            </w:pPr>
            <w:r>
              <w:rPr>
                <w:rFonts w:ascii="仿宋_GB2312" w:hAnsi="仿宋_GB2312" w:cs="仿宋_GB2312" w:eastAsia="仿宋_GB2312"/>
              </w:rPr>
              <w:t>3.供应商提供的进度管控与应急方案需包含①进度管控节点设置、动态调整；②工期延误风险预判及应对措施；③季节性施工（暑期、雨期）适配措施，共3项内容，每项满分3分，总分9分。 其中，每项以具体内容与本项目及工程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进度管控与应急方案.docx</w:t>
            </w:r>
          </w:p>
        </w:tc>
      </w:tr>
      <w:tr>
        <w:tc>
          <w:tcPr>
            <w:tcW w:type="dxa" w:w="831"/>
            <w:vMerge/>
          </w:tcPr>
          <w:p/>
        </w:tc>
        <w:tc>
          <w:tcPr>
            <w:tcW w:type="dxa" w:w="1661"/>
          </w:tcPr>
          <w:p>
            <w:pPr>
              <w:pStyle w:val="null3"/>
            </w:pPr>
            <w:r>
              <w:rPr>
                <w:rFonts w:ascii="仿宋_GB2312" w:hAnsi="仿宋_GB2312" w:cs="仿宋_GB2312" w:eastAsia="仿宋_GB2312"/>
              </w:rPr>
              <w:t>施工组织设计4</w:t>
            </w:r>
          </w:p>
        </w:tc>
        <w:tc>
          <w:tcPr>
            <w:tcW w:type="dxa" w:w="2492"/>
          </w:tcPr>
          <w:p>
            <w:pPr>
              <w:pStyle w:val="null3"/>
            </w:pPr>
            <w:r>
              <w:rPr>
                <w:rFonts w:ascii="仿宋_GB2312" w:hAnsi="仿宋_GB2312" w:cs="仿宋_GB2312" w:eastAsia="仿宋_GB2312"/>
              </w:rPr>
              <w:t>4.供应商提供的安全文明施工方案需包含①安全生产管理制度、责任分工；②安全风险防控、应急处置方案；③文明施工、环保措施（扬尘、噪音管控等），共3项内容，每项满分3分，总分9分。 其中，每项以具体内容与本项目及工程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安全文明施工方案.docx</w:t>
            </w:r>
          </w:p>
        </w:tc>
      </w:tr>
      <w:tr>
        <w:tc>
          <w:tcPr>
            <w:tcW w:type="dxa" w:w="831"/>
            <w:vMerge/>
          </w:tcPr>
          <w:p/>
        </w:tc>
        <w:tc>
          <w:tcPr>
            <w:tcW w:type="dxa" w:w="1661"/>
          </w:tcPr>
          <w:p>
            <w:pPr>
              <w:pStyle w:val="null3"/>
            </w:pPr>
            <w:r>
              <w:rPr>
                <w:rFonts w:ascii="仿宋_GB2312" w:hAnsi="仿宋_GB2312" w:cs="仿宋_GB2312" w:eastAsia="仿宋_GB2312"/>
              </w:rPr>
              <w:t>施工组织设计5</w:t>
            </w:r>
          </w:p>
        </w:tc>
        <w:tc>
          <w:tcPr>
            <w:tcW w:type="dxa" w:w="2492"/>
          </w:tcPr>
          <w:p>
            <w:pPr>
              <w:pStyle w:val="null3"/>
            </w:pPr>
            <w:r>
              <w:rPr>
                <w:rFonts w:ascii="仿宋_GB2312" w:hAnsi="仿宋_GB2312" w:cs="仿宋_GB2312" w:eastAsia="仿宋_GB2312"/>
              </w:rPr>
              <w:t>5.供应商提供的资源配置保障方案需包含①施工队伍、管理人员及经验；②施工机械设备、材料供应；③人力、设备调度方案，共3项内容，每项满分3分，总分9分。 其中，每项以具体内容与本项目及工程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资源配置保障方案.docx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综合评分法中的价格分统一采用低价优先法计算，即满足磋商文件要求且最后报价最低的供应商的价格为磋商基准价，其价格分为满分。其他供应商的价格分统一按照下列公式计算： 磋商报价得分=（磋商基准价/最后磋商报价）×30 备注：计算分数时四舍五入取小数点后两位。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详见附件：供应商应提交的资格审查资料.docx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详见附件：拟派项目经理职称、学历、业绩证明材料.docx</w:t>
      </w:r>
    </w:p>
    <w:p>
      <w:pPr>
        <w:pStyle w:val="null3"/>
        <w:ind w:firstLine="960"/>
      </w:pPr>
      <w:r>
        <w:rPr>
          <w:rFonts w:ascii="仿宋_GB2312" w:hAnsi="仿宋_GB2312" w:cs="仿宋_GB2312" w:eastAsia="仿宋_GB2312"/>
        </w:rPr>
        <w:t>详见附件：主要材料技术参数、品质表.docx</w:t>
      </w:r>
    </w:p>
    <w:p>
      <w:pPr>
        <w:pStyle w:val="null3"/>
        <w:ind w:firstLine="960"/>
      </w:pPr>
      <w:r>
        <w:rPr>
          <w:rFonts w:ascii="仿宋_GB2312" w:hAnsi="仿宋_GB2312" w:cs="仿宋_GB2312" w:eastAsia="仿宋_GB2312"/>
        </w:rPr>
        <w:t>详见附件：施工总体规划部署及施工方案.docx</w:t>
      </w:r>
    </w:p>
    <w:p>
      <w:pPr>
        <w:pStyle w:val="null3"/>
        <w:ind w:firstLine="960"/>
      </w:pPr>
      <w:r>
        <w:rPr>
          <w:rFonts w:ascii="仿宋_GB2312" w:hAnsi="仿宋_GB2312" w:cs="仿宋_GB2312" w:eastAsia="仿宋_GB2312"/>
        </w:rPr>
        <w:t>详见附件：质量管控体系方案.docx</w:t>
      </w:r>
    </w:p>
    <w:p>
      <w:pPr>
        <w:pStyle w:val="null3"/>
        <w:ind w:firstLine="960"/>
      </w:pPr>
      <w:r>
        <w:rPr>
          <w:rFonts w:ascii="仿宋_GB2312" w:hAnsi="仿宋_GB2312" w:cs="仿宋_GB2312" w:eastAsia="仿宋_GB2312"/>
        </w:rPr>
        <w:t>详见附件：进度管控与应急方案.docx</w:t>
      </w:r>
    </w:p>
    <w:p>
      <w:pPr>
        <w:pStyle w:val="null3"/>
        <w:ind w:firstLine="960"/>
      </w:pPr>
      <w:r>
        <w:rPr>
          <w:rFonts w:ascii="仿宋_GB2312" w:hAnsi="仿宋_GB2312" w:cs="仿宋_GB2312" w:eastAsia="仿宋_GB2312"/>
        </w:rPr>
        <w:t>详见附件：安全文明施工方案.docx</w:t>
      </w:r>
    </w:p>
    <w:p>
      <w:pPr>
        <w:pStyle w:val="null3"/>
        <w:ind w:firstLine="960"/>
      </w:pPr>
      <w:r>
        <w:rPr>
          <w:rFonts w:ascii="仿宋_GB2312" w:hAnsi="仿宋_GB2312" w:cs="仿宋_GB2312" w:eastAsia="仿宋_GB2312"/>
        </w:rPr>
        <w:t>详见附件：资源配置保障方案.docx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