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63862">
      <w:pPr>
        <w:pStyle w:val="2"/>
      </w:pPr>
      <w:bookmarkStart w:id="0" w:name="_Toc7221"/>
      <w:bookmarkStart w:id="1" w:name="_Toc26472"/>
      <w:r>
        <w:rPr>
          <w:rFonts w:hint="eastAsia"/>
        </w:rPr>
        <w:t>拟签订采购合同文本</w:t>
      </w:r>
      <w:bookmarkEnd w:id="0"/>
      <w:bookmarkEnd w:id="1"/>
    </w:p>
    <w:p w14:paraId="4DB3B4B6">
      <w:pPr>
        <w:widowControl/>
        <w:wordWrap w:val="0"/>
        <w:topLinePunct/>
        <w:spacing w:before="0" w:beforeAutospacing="0" w:after="0" w:afterAutospacing="0"/>
        <w:ind w:firstLine="720" w:firstLineChars="300"/>
        <w:jc w:val="right"/>
        <w:rPr>
          <w:rFonts w:ascii="宋体" w:cs="宋体"/>
          <w:bCs/>
          <w:kern w:val="0"/>
          <w:sz w:val="24"/>
          <w:szCs w:val="20"/>
        </w:rPr>
      </w:pPr>
    </w:p>
    <w:p w14:paraId="2B632834">
      <w:pPr>
        <w:bidi w:val="0"/>
      </w:pPr>
      <w:bookmarkStart w:id="2" w:name="_Toc22785"/>
      <w:bookmarkStart w:id="3" w:name="_Toc22306"/>
      <w:r>
        <w:rPr>
          <w:rFonts w:hint="eastAsia"/>
        </w:rPr>
        <w:t>（合同签订时采购人有权根据供应商响应文件中的内容及承诺对合同内容进行补充和完善）</w:t>
      </w:r>
      <w:bookmarkEnd w:id="2"/>
      <w:bookmarkEnd w:id="3"/>
    </w:p>
    <w:p w14:paraId="2FDFAC9A">
      <w:pPr>
        <w:bidi w:val="0"/>
      </w:pPr>
    </w:p>
    <w:p w14:paraId="2098E0F7">
      <w:pPr>
        <w:widowControl/>
        <w:adjustRightInd w:val="0"/>
        <w:snapToGrid w:val="0"/>
        <w:spacing w:before="0" w:beforeAutospacing="0" w:after="0" w:afterAutospacing="0" w:line="600" w:lineRule="exact"/>
        <w:jc w:val="center"/>
        <w:rPr>
          <w:rFonts w:ascii="宋体" w:cs="宋体"/>
          <w:b/>
          <w:bCs/>
          <w:sz w:val="40"/>
          <w:szCs w:val="48"/>
        </w:rPr>
      </w:pPr>
      <w:r>
        <w:rPr>
          <w:rFonts w:hint="eastAsia" w:ascii="宋体" w:hAnsi="宋体" w:cs="宋体"/>
          <w:b/>
          <w:bCs/>
          <w:sz w:val="40"/>
          <w:szCs w:val="48"/>
        </w:rPr>
        <w:t>西安工程大学金花校区</w:t>
      </w:r>
    </w:p>
    <w:p w14:paraId="600F1FB0">
      <w:pPr>
        <w:widowControl/>
        <w:adjustRightInd w:val="0"/>
        <w:snapToGrid w:val="0"/>
        <w:spacing w:before="0" w:beforeAutospacing="0" w:after="0" w:afterAutospacing="0" w:line="600" w:lineRule="exact"/>
        <w:jc w:val="center"/>
        <w:rPr>
          <w:rFonts w:ascii="宋体" w:cs="宋体"/>
          <w:b/>
          <w:bCs/>
          <w:sz w:val="40"/>
          <w:szCs w:val="48"/>
        </w:rPr>
      </w:pPr>
      <w:r>
        <w:rPr>
          <w:rFonts w:hint="eastAsia" w:ascii="宋体" w:hAnsi="宋体" w:cs="宋体"/>
          <w:b/>
          <w:bCs/>
          <w:sz w:val="40"/>
          <w:szCs w:val="48"/>
        </w:rPr>
        <w:t>纺织楼等主电缆及供电系统改造工程</w:t>
      </w:r>
    </w:p>
    <w:p w14:paraId="45DA4716">
      <w:pPr>
        <w:bidi w:val="0"/>
      </w:pPr>
    </w:p>
    <w:p w14:paraId="2D864B9E">
      <w:pPr>
        <w:bidi w:val="0"/>
      </w:pPr>
    </w:p>
    <w:p w14:paraId="3ABA19E2">
      <w:pPr>
        <w:bidi w:val="0"/>
      </w:pPr>
    </w:p>
    <w:p w14:paraId="25B27FEA">
      <w:pPr>
        <w:bidi w:val="0"/>
      </w:pPr>
    </w:p>
    <w:p w14:paraId="6AE380DE">
      <w:pPr>
        <w:adjustRightInd w:val="0"/>
        <w:snapToGrid w:val="0"/>
        <w:spacing w:before="0" w:beforeAutospacing="0" w:after="0" w:afterAutospacing="0" w:line="360" w:lineRule="auto"/>
        <w:jc w:val="center"/>
        <w:rPr>
          <w:b/>
          <w:sz w:val="60"/>
          <w:szCs w:val="28"/>
        </w:rPr>
      </w:pPr>
      <w:r>
        <w:rPr>
          <w:rFonts w:hint="eastAsia"/>
          <w:b/>
          <w:sz w:val="60"/>
          <w:szCs w:val="28"/>
        </w:rPr>
        <w:t>施工合同</w:t>
      </w:r>
    </w:p>
    <w:p w14:paraId="0AD99D5B">
      <w:pPr>
        <w:bidi w:val="0"/>
      </w:pPr>
    </w:p>
    <w:p w14:paraId="406F181C">
      <w:pPr>
        <w:bidi w:val="0"/>
      </w:pPr>
    </w:p>
    <w:p w14:paraId="3E917482">
      <w:pPr>
        <w:bidi w:val="0"/>
      </w:pPr>
      <w:bookmarkStart w:id="4" w:name="_GoBack"/>
      <w:bookmarkEnd w:id="4"/>
    </w:p>
    <w:p w14:paraId="1BB8EB48">
      <w:pPr>
        <w:bidi w:val="0"/>
      </w:pPr>
    </w:p>
    <w:p w14:paraId="19ADEE2A">
      <w:pPr>
        <w:spacing w:before="0" w:beforeAutospacing="0" w:after="0" w:afterAutospacing="0" w:line="600" w:lineRule="auto"/>
        <w:ind w:firstLine="2570" w:firstLineChars="800"/>
        <w:rPr>
          <w:rFonts w:hint="eastAsia" w:ascii="宋体" w:eastAsia="宋体"/>
          <w:b/>
          <w:kern w:val="0"/>
          <w:sz w:val="32"/>
          <w:szCs w:val="32"/>
          <w:u w:val="single"/>
          <w:lang w:val="en-US" w:eastAsia="zh-CN"/>
        </w:rPr>
      </w:pPr>
      <w:r>
        <w:rPr>
          <w:rFonts w:hint="eastAsia" w:ascii="宋体" w:hAnsi="宋体"/>
          <w:b/>
          <w:kern w:val="0"/>
          <w:sz w:val="32"/>
          <w:szCs w:val="32"/>
        </w:rPr>
        <w:t>甲方：</w:t>
      </w:r>
      <w:r>
        <w:rPr>
          <w:rFonts w:hint="eastAsia" w:ascii="宋体" w:hAnsi="宋体"/>
          <w:b/>
          <w:kern w:val="0"/>
          <w:sz w:val="32"/>
          <w:szCs w:val="32"/>
          <w:u w:val="single"/>
        </w:rPr>
        <w:t>西安工程大学</w:t>
      </w:r>
      <w:r>
        <w:rPr>
          <w:rFonts w:hint="eastAsia" w:ascii="宋体" w:hAnsi="宋体"/>
          <w:b/>
          <w:kern w:val="0"/>
          <w:sz w:val="32"/>
          <w:szCs w:val="32"/>
          <w:u w:val="single"/>
          <w:lang w:val="en-US" w:eastAsia="zh-CN"/>
        </w:rPr>
        <w:t xml:space="preserve"> </w:t>
      </w:r>
    </w:p>
    <w:p w14:paraId="41FD3292">
      <w:pPr>
        <w:spacing w:before="0" w:beforeAutospacing="0" w:after="0" w:afterAutospacing="0" w:line="600" w:lineRule="auto"/>
        <w:ind w:firstLine="2570" w:firstLineChars="800"/>
        <w:rPr>
          <w:rFonts w:ascii="宋体"/>
          <w:b/>
          <w:kern w:val="0"/>
          <w:sz w:val="32"/>
          <w:szCs w:val="32"/>
        </w:rPr>
      </w:pPr>
      <w:r>
        <w:rPr>
          <w:rFonts w:hint="eastAsia" w:ascii="宋体" w:hAnsi="宋体"/>
          <w:b/>
          <w:kern w:val="0"/>
          <w:sz w:val="32"/>
          <w:szCs w:val="32"/>
        </w:rPr>
        <w:t>乙方：</w:t>
      </w:r>
      <w:r>
        <w:rPr>
          <w:rFonts w:ascii="宋体" w:hAnsi="宋体"/>
          <w:b/>
          <w:kern w:val="0"/>
          <w:sz w:val="32"/>
          <w:szCs w:val="32"/>
          <w:u w:val="single"/>
        </w:rPr>
        <w:t xml:space="preserve">           </w:t>
      </w:r>
      <w:r>
        <w:rPr>
          <w:rFonts w:hint="eastAsia" w:ascii="宋体" w:hAnsi="宋体"/>
          <w:b/>
          <w:kern w:val="0"/>
          <w:sz w:val="32"/>
          <w:szCs w:val="32"/>
          <w:u w:val="single"/>
          <w:lang w:val="en-US" w:eastAsia="zh-CN"/>
        </w:rPr>
        <w:t xml:space="preserve"> </w:t>
      </w:r>
      <w:r>
        <w:rPr>
          <w:rFonts w:ascii="宋体" w:hAnsi="宋体"/>
          <w:b/>
          <w:kern w:val="0"/>
          <w:sz w:val="32"/>
          <w:szCs w:val="32"/>
          <w:u w:val="single"/>
        </w:rPr>
        <w:t xml:space="preserve"> </w:t>
      </w:r>
    </w:p>
    <w:p w14:paraId="0CE0ECE6">
      <w:pPr>
        <w:spacing w:before="0" w:beforeAutospacing="0" w:after="0" w:afterAutospacing="0" w:line="600" w:lineRule="auto"/>
        <w:ind w:firstLine="2570" w:firstLineChars="800"/>
        <w:rPr>
          <w:rFonts w:ascii="宋体"/>
          <w:b/>
          <w:kern w:val="0"/>
          <w:sz w:val="32"/>
          <w:szCs w:val="32"/>
        </w:rPr>
      </w:pPr>
      <w:r>
        <w:rPr>
          <w:rFonts w:ascii="宋体" w:hAnsi="宋体"/>
          <w:b/>
          <w:kern w:val="0"/>
          <w:sz w:val="32"/>
          <w:szCs w:val="32"/>
          <w:u w:val="single"/>
        </w:rPr>
        <w:t xml:space="preserve">     </w:t>
      </w:r>
      <w:r>
        <w:rPr>
          <w:rFonts w:hint="eastAsia" w:ascii="宋体" w:hAnsi="宋体"/>
          <w:b/>
          <w:kern w:val="0"/>
          <w:sz w:val="32"/>
          <w:szCs w:val="32"/>
        </w:rPr>
        <w:t>年</w:t>
      </w:r>
      <w:r>
        <w:rPr>
          <w:rFonts w:ascii="宋体" w:hAnsi="宋体"/>
          <w:b/>
          <w:kern w:val="0"/>
          <w:sz w:val="32"/>
          <w:szCs w:val="32"/>
          <w:u w:val="single"/>
        </w:rPr>
        <w:t xml:space="preserve">    </w:t>
      </w:r>
      <w:r>
        <w:rPr>
          <w:rFonts w:hint="eastAsia" w:ascii="宋体" w:hAnsi="宋体"/>
          <w:b/>
          <w:kern w:val="0"/>
          <w:sz w:val="32"/>
          <w:szCs w:val="32"/>
        </w:rPr>
        <w:t>月</w:t>
      </w:r>
      <w:r>
        <w:rPr>
          <w:rFonts w:ascii="宋体" w:hAnsi="宋体"/>
          <w:b/>
          <w:kern w:val="0"/>
          <w:sz w:val="32"/>
          <w:szCs w:val="32"/>
          <w:u w:val="single"/>
        </w:rPr>
        <w:t xml:space="preserve">    </w:t>
      </w:r>
      <w:r>
        <w:rPr>
          <w:rFonts w:hint="eastAsia" w:ascii="宋体" w:hAnsi="宋体"/>
          <w:b/>
          <w:kern w:val="0"/>
          <w:sz w:val="32"/>
          <w:szCs w:val="32"/>
        </w:rPr>
        <w:t>日</w:t>
      </w:r>
    </w:p>
    <w:p w14:paraId="034D6CEC">
      <w:pPr>
        <w:adjustRightInd w:val="0"/>
        <w:snapToGrid w:val="0"/>
        <w:spacing w:beforeAutospacing="0" w:afterAutospacing="0" w:line="360" w:lineRule="auto"/>
        <w:rPr>
          <w:rFonts w:ascii="黑体" w:hAnsi="黑体" w:eastAsia="黑体"/>
          <w:sz w:val="28"/>
          <w:szCs w:val="28"/>
          <w:lang w:eastAsia="zh-Hans"/>
        </w:rPr>
      </w:pPr>
    </w:p>
    <w:p w14:paraId="7C961C43">
      <w:pPr>
        <w:wordWrap w:val="0"/>
        <w:spacing w:before="0" w:beforeAutospacing="0" w:after="0" w:afterAutospacing="0" w:line="600" w:lineRule="auto"/>
        <w:jc w:val="center"/>
        <w:rPr>
          <w:sz w:val="24"/>
          <w:szCs w:val="24"/>
        </w:rPr>
      </w:pPr>
      <w:r>
        <w:rPr>
          <w:b/>
          <w:bCs/>
          <w:kern w:val="0"/>
          <w:szCs w:val="32"/>
        </w:rPr>
        <w:br w:type="page"/>
      </w:r>
      <w:r>
        <w:rPr>
          <w:rFonts w:hint="eastAsia"/>
          <w:b/>
          <w:bCs/>
          <w:sz w:val="32"/>
          <w:szCs w:val="32"/>
        </w:rPr>
        <w:t>西安工程大学工程合同（模板）</w:t>
      </w:r>
    </w:p>
    <w:p w14:paraId="68459CA0">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甲方：</w:t>
      </w:r>
      <w:r>
        <w:rPr>
          <w:rFonts w:hint="eastAsia" w:ascii="宋体" w:hAnsi="宋体" w:cs="宋体"/>
          <w:b/>
          <w:bCs/>
          <w:color w:val="auto"/>
          <w:sz w:val="24"/>
          <w:szCs w:val="24"/>
          <w:highlight w:val="none"/>
          <w:u w:val="single"/>
        </w:rPr>
        <w:t>西安工程大学</w:t>
      </w:r>
    </w:p>
    <w:p w14:paraId="7653F32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乙方：</w:t>
      </w:r>
      <w:r>
        <w:rPr>
          <w:rFonts w:ascii="宋体" w:hAnsi="宋体" w:cs="宋体"/>
          <w:b/>
          <w:bCs/>
          <w:color w:val="auto"/>
          <w:sz w:val="24"/>
          <w:szCs w:val="24"/>
          <w:highlight w:val="none"/>
          <w:u w:val="single"/>
        </w:rPr>
        <w:t xml:space="preserve">            </w:t>
      </w:r>
    </w:p>
    <w:p w14:paraId="614D9AE8">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为了维护甲乙双方权益，依据《中华人民共和国民法典》及相关法律、行政法规和政府采购招投标管理办法，按照公开、公正、平等、自愿的原则，在充分协商一致的基础上，特订立本合同，以资共同遵守。</w:t>
      </w:r>
    </w:p>
    <w:p w14:paraId="5B9991D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一、工程概况：</w:t>
      </w:r>
    </w:p>
    <w:p w14:paraId="465BEA6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工程名称：</w:t>
      </w:r>
      <w:r>
        <w:rPr>
          <w:rFonts w:hint="eastAsia" w:ascii="宋体" w:hAnsi="宋体" w:cs="宋体"/>
          <w:color w:val="auto"/>
          <w:sz w:val="24"/>
          <w:szCs w:val="24"/>
          <w:highlight w:val="none"/>
          <w:u w:val="single"/>
        </w:rPr>
        <w:t>西安工程大学金花校区纺织楼等主电缆及供电系统改造工程</w:t>
      </w:r>
    </w:p>
    <w:p w14:paraId="32DAB9BD">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工程地点：</w:t>
      </w:r>
      <w:r>
        <w:rPr>
          <w:rFonts w:hint="eastAsia" w:ascii="宋体" w:hAnsi="宋体" w:cs="宋体"/>
          <w:color w:val="auto"/>
          <w:sz w:val="24"/>
          <w:szCs w:val="24"/>
          <w:highlight w:val="none"/>
          <w:u w:val="single"/>
        </w:rPr>
        <w:t>西安工程大学金花校区</w:t>
      </w:r>
    </w:p>
    <w:p w14:paraId="46B7A596">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二、工程内容、数量及技术要求：</w:t>
      </w:r>
    </w:p>
    <w:p w14:paraId="71F7A03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（详见采购要求）</w:t>
      </w:r>
    </w:p>
    <w:p w14:paraId="009DE135">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三、合同价款：</w:t>
      </w:r>
    </w:p>
    <w:p w14:paraId="3E37410F">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合同暂定价款：为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元（大写：</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689070C6">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本工程为固定综合单价合同，本合同执行乙方磋商优惠后中标固定综合单价。综合单价内含人工费、主辅材费、机械费、管理费、利润、安全文明施工费、措施费、税金、风险费、施工人员意外伤害险、第三者责任险等以及与施工相关的一切费用；中标固定综合单价不因国家法律、行政法规和国家政策变化及原材料市场价格发生变化等进行调整；合同工程量为暂定量，结算工程量根据现场实际发生量据实结算，规费以乙方实际缴纳票据为依据计取，工程造价最终以审计结算结果为准。</w:t>
      </w:r>
    </w:p>
    <w:p w14:paraId="77834704">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因施工产生的建筑垃圾清运及校外弃运费（含渣土外运相关手续办理）及成品保护费用均包含在综合单价内，不再另行计费。</w:t>
      </w:r>
    </w:p>
    <w:p w14:paraId="401F8020">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本项目招标工程量为暂定量，结算时，依据采购人审定的工程量，按实际发生量据实结算，工程价款结算时依据最终价款和一次报价的下浮比例执行。</w:t>
      </w:r>
    </w:p>
    <w:p w14:paraId="2A5F02F5">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所有分项工程施工工艺已在开标前由乙方详细勘查现场后根据行业规范及现场实际情况科学组价，与施工相关的一切费用均包含在相关综合单价中，不再另行计费。</w:t>
      </w:r>
    </w:p>
    <w:p w14:paraId="46D8626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四、合同工期：</w:t>
      </w:r>
    </w:p>
    <w:p w14:paraId="7632062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总工期</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天（日历天），具体开工日期以双方商定为准。</w:t>
      </w:r>
    </w:p>
    <w:p w14:paraId="7722834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五、工程结算及工程款支付方式：</w:t>
      </w:r>
    </w:p>
    <w:p w14:paraId="13718FE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包工包料、包工期、包质量、包安全、包文明施工的施工总承包，工程完工后工程量据实结算，工程造价最终以审计结算结果为准。</w:t>
      </w:r>
    </w:p>
    <w:p w14:paraId="3D7B948C">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合同签订后，待乙方提供符合甲方要求的银行出具的预付款保函后，本项目支付合同总价款的</w:t>
      </w:r>
      <w:r>
        <w:rPr>
          <w:rFonts w:ascii="宋体" w:hAnsi="宋体" w:cs="宋体"/>
          <w:color w:val="auto"/>
          <w:sz w:val="24"/>
          <w:szCs w:val="24"/>
          <w:highlight w:val="none"/>
        </w:rPr>
        <w:t>40%</w:t>
      </w:r>
      <w:r>
        <w:rPr>
          <w:rFonts w:hint="eastAsia" w:ascii="宋体" w:hAnsi="宋体" w:cs="宋体"/>
          <w:color w:val="auto"/>
          <w:sz w:val="24"/>
          <w:szCs w:val="24"/>
          <w:highlight w:val="none"/>
        </w:rPr>
        <w:t>作为预付款。正式审计报告出具后甲方在办理完校内工程款支付审批手续后，支付至工程审定造价的</w:t>
      </w:r>
      <w:r>
        <w:rPr>
          <w:rFonts w:ascii="宋体" w:hAnsi="宋体" w:cs="宋体"/>
          <w:color w:val="auto"/>
          <w:sz w:val="24"/>
          <w:szCs w:val="24"/>
          <w:highlight w:val="none"/>
        </w:rPr>
        <w:t>95%</w:t>
      </w:r>
      <w:r>
        <w:rPr>
          <w:rFonts w:hint="eastAsia" w:ascii="宋体" w:hAnsi="宋体" w:cs="宋体"/>
          <w:color w:val="auto"/>
          <w:sz w:val="24"/>
          <w:szCs w:val="24"/>
          <w:highlight w:val="none"/>
        </w:rPr>
        <w:t>；剩余</w:t>
      </w:r>
      <w:r>
        <w:rPr>
          <w:rFonts w:ascii="宋体" w:hAnsi="宋体" w:cs="宋体"/>
          <w:color w:val="auto"/>
          <w:sz w:val="24"/>
          <w:szCs w:val="24"/>
          <w:highlight w:val="none"/>
        </w:rPr>
        <w:t>5%</w:t>
      </w:r>
      <w:r>
        <w:rPr>
          <w:rFonts w:hint="eastAsia" w:ascii="宋体" w:hAnsi="宋体" w:cs="宋体"/>
          <w:color w:val="auto"/>
          <w:sz w:val="24"/>
          <w:szCs w:val="24"/>
          <w:highlight w:val="none"/>
        </w:rPr>
        <w:t>余款在乙方履行保修义务无质量问题后支付。付款前，乙方需向甲方出具合法有效的等额增值税专用或普通发票。</w:t>
      </w:r>
    </w:p>
    <w:p w14:paraId="0A268FC0">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施工现场所发生施工合同以外的施工内容和新增加的其他工程量，经甲方书面认可该工程量后双方现场据实确认，费用一并计入工程结算中。</w:t>
      </w:r>
    </w:p>
    <w:p w14:paraId="0529C405">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施工现场所发生施工合同以外施工内容综合单价确认办法：</w:t>
      </w:r>
    </w:p>
    <w:p w14:paraId="2CF29AAD">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合同中已有适用于变更工程的价格，按合同已有价格；合同中没有适用的单价，由乙方提出变更认价报告，甲方对主材认价，相关取费参照《陕西省建设工程费用规则（</w:t>
      </w:r>
      <w:r>
        <w:rPr>
          <w:rFonts w:ascii="宋体" w:hAnsi="宋体" w:cs="宋体"/>
          <w:color w:val="auto"/>
          <w:sz w:val="24"/>
          <w:szCs w:val="24"/>
          <w:highlight w:val="none"/>
        </w:rPr>
        <w:t>2025</w:t>
      </w:r>
      <w:r>
        <w:rPr>
          <w:rFonts w:hint="eastAsia" w:ascii="宋体" w:hAnsi="宋体" w:cs="宋体"/>
          <w:color w:val="auto"/>
          <w:sz w:val="24"/>
          <w:szCs w:val="24"/>
          <w:highlight w:val="none"/>
        </w:rPr>
        <w:t>）》、《陕西省房屋建筑与装饰工程消耗量定额（</w:t>
      </w:r>
      <w:r>
        <w:rPr>
          <w:rFonts w:ascii="宋体" w:hAnsi="宋体" w:cs="宋体"/>
          <w:color w:val="auto"/>
          <w:sz w:val="24"/>
          <w:szCs w:val="24"/>
          <w:highlight w:val="none"/>
        </w:rPr>
        <w:t>2025</w:t>
      </w:r>
      <w:r>
        <w:rPr>
          <w:rFonts w:hint="eastAsia" w:ascii="宋体" w:hAnsi="宋体" w:cs="宋体"/>
          <w:color w:val="auto"/>
          <w:sz w:val="24"/>
          <w:szCs w:val="24"/>
          <w:highlight w:val="none"/>
        </w:rPr>
        <w:t>）》、《陕西省通用安装工程消耗量定额（</w:t>
      </w:r>
      <w:r>
        <w:rPr>
          <w:rFonts w:ascii="宋体" w:hAnsi="宋体" w:cs="宋体"/>
          <w:color w:val="auto"/>
          <w:sz w:val="24"/>
          <w:szCs w:val="24"/>
          <w:highlight w:val="none"/>
        </w:rPr>
        <w:t>2025</w:t>
      </w:r>
      <w:r>
        <w:rPr>
          <w:rFonts w:hint="eastAsia" w:ascii="宋体" w:hAnsi="宋体" w:cs="宋体"/>
          <w:color w:val="auto"/>
          <w:sz w:val="24"/>
          <w:szCs w:val="24"/>
          <w:highlight w:val="none"/>
        </w:rPr>
        <w:t>）》及其配套的</w:t>
      </w:r>
      <w:r>
        <w:rPr>
          <w:rFonts w:ascii="宋体" w:hAnsi="宋体" w:cs="宋体"/>
          <w:color w:val="auto"/>
          <w:sz w:val="24"/>
          <w:szCs w:val="24"/>
          <w:highlight w:val="none"/>
        </w:rPr>
        <w:t>2025</w:t>
      </w:r>
      <w:r>
        <w:rPr>
          <w:rFonts w:hint="eastAsia" w:ascii="宋体" w:hAnsi="宋体" w:cs="宋体"/>
          <w:color w:val="auto"/>
          <w:sz w:val="24"/>
          <w:szCs w:val="24"/>
          <w:highlight w:val="none"/>
        </w:rPr>
        <w:t>基价表和学校相关规定执行。</w:t>
      </w:r>
    </w:p>
    <w:p w14:paraId="1C50D942">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工程施工结算阶段，乙方应据实申报结算资料及组价，经审计后审减率超出</w:t>
      </w:r>
      <w:r>
        <w:rPr>
          <w:rFonts w:ascii="宋体" w:hAnsi="宋体" w:cs="宋体"/>
          <w:color w:val="auto"/>
          <w:sz w:val="24"/>
          <w:szCs w:val="24"/>
          <w:highlight w:val="none"/>
        </w:rPr>
        <w:t>10%</w:t>
      </w:r>
      <w:r>
        <w:rPr>
          <w:rFonts w:hint="eastAsia" w:ascii="宋体" w:hAnsi="宋体" w:cs="宋体"/>
          <w:color w:val="auto"/>
          <w:sz w:val="24"/>
          <w:szCs w:val="24"/>
          <w:highlight w:val="none"/>
        </w:rPr>
        <w:t>（含</w:t>
      </w:r>
      <w:r>
        <w:rPr>
          <w:rFonts w:ascii="宋体" w:hAnsi="宋体" w:cs="宋体"/>
          <w:color w:val="auto"/>
          <w:sz w:val="24"/>
          <w:szCs w:val="24"/>
          <w:highlight w:val="none"/>
        </w:rPr>
        <w:t>10%</w:t>
      </w:r>
      <w:r>
        <w:rPr>
          <w:rFonts w:hint="eastAsia" w:ascii="宋体" w:hAnsi="宋体" w:cs="宋体"/>
          <w:color w:val="auto"/>
          <w:sz w:val="24"/>
          <w:szCs w:val="24"/>
          <w:highlight w:val="none"/>
        </w:rPr>
        <w:t>）时，发生的全部审计成果费由乙方承担。</w:t>
      </w:r>
    </w:p>
    <w:p w14:paraId="68210EAD">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6.</w:t>
      </w:r>
      <w:r>
        <w:rPr>
          <w:rFonts w:hint="eastAsia" w:ascii="宋体" w:hAnsi="宋体" w:cs="宋体"/>
          <w:color w:val="auto"/>
          <w:sz w:val="24"/>
          <w:szCs w:val="24"/>
          <w:highlight w:val="none"/>
        </w:rPr>
        <w:t>本工程所发生的水电费由乙方承担，按工程审定造价的</w:t>
      </w:r>
      <w:r>
        <w:rPr>
          <w:rFonts w:ascii="宋体" w:hAnsi="宋体" w:cs="宋体"/>
          <w:color w:val="auto"/>
          <w:sz w:val="24"/>
          <w:szCs w:val="24"/>
          <w:highlight w:val="none"/>
        </w:rPr>
        <w:t>5</w:t>
      </w:r>
      <w:r>
        <w:rPr>
          <w:rFonts w:hint="eastAsia" w:ascii="宋体" w:hAnsi="宋体" w:cs="宋体"/>
          <w:color w:val="auto"/>
          <w:sz w:val="24"/>
          <w:szCs w:val="24"/>
          <w:highlight w:val="none"/>
        </w:rPr>
        <w:t>‰（其中电费为</w:t>
      </w:r>
      <w:r>
        <w:rPr>
          <w:rFonts w:ascii="宋体" w:hAnsi="宋体" w:cs="宋体"/>
          <w:color w:val="auto"/>
          <w:sz w:val="24"/>
          <w:szCs w:val="24"/>
          <w:highlight w:val="none"/>
        </w:rPr>
        <w:t>3</w:t>
      </w:r>
      <w:r>
        <w:rPr>
          <w:rFonts w:hint="eastAsia" w:ascii="宋体" w:hAnsi="宋体" w:cs="宋体"/>
          <w:color w:val="auto"/>
          <w:sz w:val="24"/>
          <w:szCs w:val="24"/>
          <w:highlight w:val="none"/>
        </w:rPr>
        <w:t>‰，水费为</w:t>
      </w:r>
      <w:r>
        <w:rPr>
          <w:rFonts w:ascii="宋体" w:hAnsi="宋体" w:cs="宋体"/>
          <w:color w:val="auto"/>
          <w:sz w:val="24"/>
          <w:szCs w:val="24"/>
          <w:highlight w:val="none"/>
        </w:rPr>
        <w:t>2</w:t>
      </w:r>
      <w:r>
        <w:rPr>
          <w:rFonts w:hint="eastAsia" w:ascii="宋体" w:hAnsi="宋体" w:cs="宋体"/>
          <w:color w:val="auto"/>
          <w:sz w:val="24"/>
          <w:szCs w:val="24"/>
          <w:highlight w:val="none"/>
        </w:rPr>
        <w:t>‰）从工程款项中一次性扣除。</w:t>
      </w:r>
    </w:p>
    <w:p w14:paraId="21E55F2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六、工程施工要求：</w:t>
      </w:r>
    </w:p>
    <w:p w14:paraId="51274F3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乙方在施工中应严格管理，自觉遵守学校及政府关于施工、文明施工、安全施工的相关要求；乙方在施工中，应加强职工安全意识的教育和管理工作，严格执行施工质量及安全操作规程，施工中所发生的一切机械、人身伤、残、亡事故及质量事故概由乙方承担。工程竣工后做到工完场清。</w:t>
      </w:r>
    </w:p>
    <w:p w14:paraId="453D8122">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七、质量检查与验收：</w:t>
      </w:r>
    </w:p>
    <w:p w14:paraId="460F6766">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本工程所有设备、材料均由乙方负责采购，乙方必须对所采购物资质量负全部责任，工程所用所有材料必须符合国家、行业标准及甲方要求，并与乙方投标文件所标示品牌一致，所有材料进场前需由建设方、监理方考察认质，材料进场前需提供样品，甲方认定样品质量后封存，大批量材料进场时进行比对查验，所有材料进场后必须经甲方、监理方现场管理人员验收书面确认后方可使用，甲方对材料的验收不免除乙方对其采购物资质量负全部责任的义务。</w:t>
      </w:r>
    </w:p>
    <w:p w14:paraId="6F7F5205">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本工程质量等级：符合本工程招标文件技术要求及国家、行业标准，达到合格。</w:t>
      </w:r>
    </w:p>
    <w:p w14:paraId="3BA37B5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八、工程质保期：</w:t>
      </w:r>
    </w:p>
    <w:p w14:paraId="7B5A6FD2">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本工程质保期</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年，工程竣工验收合格之日起计算，质保期内如因施工及设备质量问题需要维修，乙方应保证</w:t>
      </w:r>
      <w:r>
        <w:rPr>
          <w:rFonts w:ascii="宋体" w:hAnsi="宋体" w:cs="宋体"/>
          <w:color w:val="auto"/>
          <w:sz w:val="24"/>
          <w:szCs w:val="24"/>
          <w:highlight w:val="none"/>
        </w:rPr>
        <w:t>48</w:t>
      </w:r>
      <w:r>
        <w:rPr>
          <w:rFonts w:hint="eastAsia" w:ascii="宋体" w:hAnsi="宋体" w:cs="宋体"/>
          <w:color w:val="auto"/>
          <w:sz w:val="24"/>
          <w:szCs w:val="24"/>
          <w:highlight w:val="none"/>
        </w:rPr>
        <w:t>小时内提供维修方案，</w:t>
      </w:r>
      <w:r>
        <w:rPr>
          <w:rFonts w:ascii="宋体" w:hAnsi="宋体" w:cs="宋体"/>
          <w:color w:val="auto"/>
          <w:sz w:val="24"/>
          <w:szCs w:val="24"/>
          <w:highlight w:val="none"/>
        </w:rPr>
        <w:t>5</w:t>
      </w:r>
      <w:r>
        <w:rPr>
          <w:rFonts w:hint="eastAsia" w:ascii="宋体" w:hAnsi="宋体" w:cs="宋体"/>
          <w:color w:val="auto"/>
          <w:sz w:val="24"/>
          <w:szCs w:val="24"/>
          <w:highlight w:val="none"/>
        </w:rPr>
        <w:t>天内完成维修，无条件免费维修，否则甲方有权另行委托他人完成，所发生的费用均由乙方承担。</w:t>
      </w:r>
    </w:p>
    <w:p w14:paraId="0A2AD666">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九、甲方责任：</w:t>
      </w:r>
    </w:p>
    <w:p w14:paraId="7FBE0D03">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甲方指派</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作为甲方施工现场代表，负责施工的监督管理和协调，验收乙方设备、材料来货单及双方往来文件，协调办理乙方进场施工手续。</w:t>
      </w:r>
    </w:p>
    <w:p w14:paraId="2D42BF0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指定乙方施工时所需的材料及工具堆放地点，指定水电源接点位置；</w:t>
      </w:r>
    </w:p>
    <w:p w14:paraId="556386F4">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对乙方项目部组成人员名单、修改完善后的施工组织设计、施工进度计划横线图及相关技术资料进行审批和签署。</w:t>
      </w:r>
    </w:p>
    <w:p w14:paraId="16667D0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十、乙方责任：</w:t>
      </w:r>
    </w:p>
    <w:p w14:paraId="731F4054">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乙方指派</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作为工地项目负责人，负责设备、材料安装、工程质量和施工安全的管理以及签收双方往来文件等。乙方工地负责人，联系电话</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，微信号</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，邮箱</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6AEAFEA1">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设备、材料进场及安装时接受甲方的全程监督管理。</w:t>
      </w:r>
    </w:p>
    <w:p w14:paraId="7BF6F381">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严格按照技术要求、施工内容和制作要求进行生产和施工安装，对不符合合同要求的设备、材料及不符合验收标准的设备、材料进行改造和更换。</w:t>
      </w:r>
    </w:p>
    <w:p w14:paraId="4C7E76C1">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负责做好施工期间材料、设备的保管。</w:t>
      </w:r>
    </w:p>
    <w:p w14:paraId="2A9DECC4">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按时按质完成设备、材料的制作、采购和安装调试，保证甲方的正常使用，并向甲方及时提交工程审计结算所需完整资料。</w:t>
      </w:r>
    </w:p>
    <w:p w14:paraId="0795239D">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6.</w:t>
      </w:r>
      <w:r>
        <w:rPr>
          <w:rFonts w:hint="eastAsia" w:ascii="宋体" w:hAnsi="宋体" w:cs="宋体"/>
          <w:color w:val="auto"/>
          <w:sz w:val="24"/>
          <w:szCs w:val="24"/>
          <w:highlight w:val="none"/>
        </w:rPr>
        <w:t>在工程施工和设备、材料安装过程中，不得任意破坏甲方土建结构，如确实需要改动土建结构的，需经甲方书面同意，否则，需向甲方支付合同暂定价</w:t>
      </w:r>
      <w:r>
        <w:rPr>
          <w:rFonts w:ascii="宋体" w:hAnsi="宋体" w:cs="宋体"/>
          <w:color w:val="auto"/>
          <w:sz w:val="24"/>
          <w:szCs w:val="24"/>
          <w:highlight w:val="none"/>
        </w:rPr>
        <w:t>20%</w:t>
      </w:r>
      <w:r>
        <w:rPr>
          <w:rFonts w:hint="eastAsia" w:ascii="宋体" w:hAnsi="宋体" w:cs="宋体"/>
          <w:color w:val="auto"/>
          <w:sz w:val="24"/>
          <w:szCs w:val="24"/>
          <w:highlight w:val="none"/>
        </w:rPr>
        <w:t>的违约金，造成甲方损失的，还应赔偿甲方全部经济损失。</w:t>
      </w:r>
    </w:p>
    <w:p w14:paraId="46B8B01C">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十一、违约责任：</w:t>
      </w:r>
    </w:p>
    <w:p w14:paraId="1FFD789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本工程施工时间紧张，乙方必须提前做好准备，科学合理组织人力、物力及设备投入，必须保证保质、保量、按期完工，需无条件保证所施工工程如期使用，未经甲方书面同意，乙方逾期完工的，工期每推迟一天，按照合同价的</w:t>
      </w:r>
      <w:r>
        <w:rPr>
          <w:rFonts w:ascii="宋体" w:hAnsi="宋体" w:cs="宋体"/>
          <w:color w:val="auto"/>
          <w:sz w:val="24"/>
          <w:szCs w:val="24"/>
          <w:highlight w:val="none"/>
        </w:rPr>
        <w:t>1%</w:t>
      </w:r>
      <w:r>
        <w:rPr>
          <w:rFonts w:hint="eastAsia" w:ascii="宋体" w:hAnsi="宋体" w:cs="宋体"/>
          <w:color w:val="auto"/>
          <w:sz w:val="24"/>
          <w:szCs w:val="24"/>
          <w:highlight w:val="none"/>
        </w:rPr>
        <w:t>按天累计从工程款项中一次性扣除。延期超过</w:t>
      </w:r>
      <w:r>
        <w:rPr>
          <w:rFonts w:ascii="宋体" w:hAnsi="宋体" w:cs="宋体"/>
          <w:color w:val="auto"/>
          <w:sz w:val="24"/>
          <w:szCs w:val="24"/>
          <w:highlight w:val="none"/>
        </w:rPr>
        <w:t>30</w:t>
      </w:r>
      <w:r>
        <w:rPr>
          <w:rFonts w:hint="eastAsia" w:ascii="宋体" w:hAnsi="宋体" w:cs="宋体"/>
          <w:color w:val="auto"/>
          <w:sz w:val="24"/>
          <w:szCs w:val="24"/>
          <w:highlight w:val="none"/>
        </w:rPr>
        <w:t>天，甲方有权解除合同并有权要求乙方承担合同暂定价</w:t>
      </w:r>
      <w:r>
        <w:rPr>
          <w:rFonts w:ascii="宋体" w:hAnsi="宋体" w:cs="宋体"/>
          <w:color w:val="auto"/>
          <w:sz w:val="24"/>
          <w:szCs w:val="24"/>
          <w:highlight w:val="none"/>
        </w:rPr>
        <w:t>20%</w:t>
      </w:r>
      <w:r>
        <w:rPr>
          <w:rFonts w:hint="eastAsia" w:ascii="宋体" w:hAnsi="宋体" w:cs="宋体"/>
          <w:color w:val="auto"/>
          <w:sz w:val="24"/>
          <w:szCs w:val="24"/>
          <w:highlight w:val="none"/>
        </w:rPr>
        <w:t>的违约金。</w:t>
      </w:r>
    </w:p>
    <w:p w14:paraId="18C4A858">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乙方在施工中如不服从甲方管理和监督而违章施工，经甲方提出拒不改正，甲方有权令其停工，由此带来的经济损失由乙方自负；乙方停工后仍不及时整改或工作无有新的起色，甲方有权解除合同，并有权向乙方索赔由此带来的全部经济损失。</w:t>
      </w:r>
    </w:p>
    <w:p w14:paraId="02A05CE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除不可抗力外，因一方原因，合同无法继续履行时，应在不可抗力发生之日起</w:t>
      </w:r>
      <w:r>
        <w:rPr>
          <w:rFonts w:ascii="宋体" w:hAnsi="宋体" w:cs="宋体"/>
          <w:color w:val="auto"/>
          <w:sz w:val="24"/>
          <w:szCs w:val="24"/>
          <w:highlight w:val="none"/>
        </w:rPr>
        <w:t>30</w:t>
      </w:r>
      <w:r>
        <w:rPr>
          <w:rFonts w:hint="eastAsia" w:ascii="宋体" w:hAnsi="宋体" w:cs="宋体"/>
          <w:color w:val="auto"/>
          <w:sz w:val="24"/>
          <w:szCs w:val="24"/>
          <w:highlight w:val="none"/>
        </w:rPr>
        <w:t>日内书面通知另一方，双方协商一致后办理合同终止协议，并由责任方承担合同暂定价款</w:t>
      </w:r>
      <w:r>
        <w:rPr>
          <w:rFonts w:ascii="宋体" w:hAnsi="宋体" w:cs="宋体"/>
          <w:color w:val="auto"/>
          <w:sz w:val="24"/>
          <w:szCs w:val="24"/>
          <w:highlight w:val="none"/>
        </w:rPr>
        <w:t>20%</w:t>
      </w:r>
      <w:r>
        <w:rPr>
          <w:rFonts w:hint="eastAsia" w:ascii="宋体" w:hAnsi="宋体" w:cs="宋体"/>
          <w:color w:val="auto"/>
          <w:sz w:val="24"/>
          <w:szCs w:val="24"/>
          <w:highlight w:val="none"/>
        </w:rPr>
        <w:t>的违约金。</w:t>
      </w:r>
    </w:p>
    <w:p w14:paraId="2748E51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如因乙方原因，给甲方造成不限于本合同明确约定的损失，乙方应赔偿甲方的全部经济损失。</w:t>
      </w:r>
    </w:p>
    <w:p w14:paraId="2DD97E72">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乙方不得将本工程分包或转包给第三方，否则甲方有权终止合同，要求乙方承担合同暂定价</w:t>
      </w:r>
      <w:r>
        <w:rPr>
          <w:rFonts w:ascii="宋体" w:hAnsi="宋体" w:cs="宋体"/>
          <w:color w:val="auto"/>
          <w:sz w:val="24"/>
          <w:szCs w:val="24"/>
          <w:highlight w:val="none"/>
        </w:rPr>
        <w:t>20%</w:t>
      </w:r>
      <w:r>
        <w:rPr>
          <w:rFonts w:hint="eastAsia" w:ascii="宋体" w:hAnsi="宋体" w:cs="宋体"/>
          <w:color w:val="auto"/>
          <w:sz w:val="24"/>
          <w:szCs w:val="24"/>
          <w:highlight w:val="none"/>
        </w:rPr>
        <w:t>的违约金，还应赔偿甲方的全部经济损失。</w:t>
      </w:r>
    </w:p>
    <w:p w14:paraId="46FEEC3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6.</w:t>
      </w:r>
      <w:r>
        <w:rPr>
          <w:rFonts w:hint="eastAsia" w:ascii="宋体" w:hAnsi="宋体" w:cs="宋体"/>
          <w:color w:val="auto"/>
          <w:sz w:val="24"/>
          <w:szCs w:val="24"/>
          <w:highlight w:val="none"/>
        </w:rPr>
        <w:t>因乙方原因合同解除的，乙方应在</w:t>
      </w:r>
      <w:r>
        <w:rPr>
          <w:rFonts w:ascii="宋体" w:hAnsi="宋体" w:cs="宋体"/>
          <w:color w:val="auto"/>
          <w:sz w:val="24"/>
          <w:szCs w:val="24"/>
          <w:highlight w:val="none"/>
        </w:rPr>
        <w:t>7</w:t>
      </w:r>
      <w:r>
        <w:rPr>
          <w:rFonts w:hint="eastAsia" w:ascii="宋体" w:hAnsi="宋体" w:cs="宋体"/>
          <w:color w:val="auto"/>
          <w:sz w:val="24"/>
          <w:szCs w:val="24"/>
          <w:highlight w:val="none"/>
        </w:rPr>
        <w:t>天内退出施工现场，按照实际完成工程量乘以固定综合单价计算工程款，乙方应在</w:t>
      </w:r>
      <w:r>
        <w:rPr>
          <w:rFonts w:ascii="宋体" w:hAnsi="宋体" w:cs="宋体"/>
          <w:color w:val="auto"/>
          <w:sz w:val="24"/>
          <w:szCs w:val="24"/>
          <w:highlight w:val="none"/>
        </w:rPr>
        <w:t>7</w:t>
      </w:r>
      <w:r>
        <w:rPr>
          <w:rFonts w:hint="eastAsia" w:ascii="宋体" w:hAnsi="宋体" w:cs="宋体"/>
          <w:color w:val="auto"/>
          <w:sz w:val="24"/>
          <w:szCs w:val="24"/>
          <w:highlight w:val="none"/>
        </w:rPr>
        <w:t>日内提交实际完成工程量的相关资料供甲方审核，否则实际施工面积以甲方测量结果为准。乙方拒不交付施工现场的，造成的任何甲方或第三方的损失由乙方承担，包括但不限于：直接损失、赔偿金、违约金、诉讼费用、仲裁费、鉴定费、保全费、保全担保费用、律师费等。甲方通过必要的采购程序与第三方另行签订施工合同的固定综合单价高于本合同约定的固定综合单价的，相关差额部分由乙方承担，甲方有权从甲方的工程款中直接扣除。</w:t>
      </w:r>
    </w:p>
    <w:p w14:paraId="5EC09E1F">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7.</w:t>
      </w:r>
      <w:r>
        <w:rPr>
          <w:rFonts w:hint="eastAsia" w:ascii="宋体" w:hAnsi="宋体" w:cs="宋体"/>
          <w:color w:val="auto"/>
          <w:sz w:val="24"/>
          <w:szCs w:val="24"/>
          <w:highlight w:val="none"/>
        </w:rPr>
        <w:t>本合同所称全部经济损失，包括但不限于：直接损失、赔偿金、违约金、诉讼费用、仲裁费、鉴定费、保全费、保全担保费用、律师费等。</w:t>
      </w:r>
    </w:p>
    <w:p w14:paraId="451C429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十二、争议解决方式：</w:t>
      </w:r>
      <w:r>
        <w:rPr>
          <w:rFonts w:ascii="宋体" w:cs="宋体"/>
          <w:b/>
          <w:bCs/>
          <w:color w:val="auto"/>
          <w:sz w:val="24"/>
          <w:szCs w:val="24"/>
          <w:highlight w:val="none"/>
        </w:rPr>
        <w:tab/>
      </w:r>
    </w:p>
    <w:p w14:paraId="3940E61C">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此合同未尽事宜，双方友好协商解决，如协商未果，交由施工所在地人民法院诉讼解决。</w:t>
      </w:r>
    </w:p>
    <w:p w14:paraId="7B7DE0F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十三、其他约定</w:t>
      </w:r>
    </w:p>
    <w:p w14:paraId="64B072C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与本合同有关的招标文件、施工图纸、工程量清单、投标文件、工程变更资料、会议纪要、工程签证、工程预决算、技术资料、业务往来文件均为本合同之附件，与本合同具有同等法律效力。</w:t>
      </w:r>
    </w:p>
    <w:p w14:paraId="42D154D0">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本合同一式</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陆</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份，甲方执</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肆</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份，乙方执</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贰</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份，经双方签字并盖章生效，具有同等的法律效力，至合同履行完毕时自行解除。</w:t>
      </w:r>
    </w:p>
    <w:p w14:paraId="29EDBEE7">
      <w:pPr>
        <w:wordWrap w:val="0"/>
        <w:spacing w:before="0" w:beforeAutospacing="0" w:after="0" w:afterAutospacing="0" w:line="360" w:lineRule="auto"/>
        <w:rPr>
          <w:rFonts w:ascii="宋体" w:cs="宋体"/>
          <w:sz w:val="24"/>
          <w:szCs w:val="24"/>
        </w:rPr>
      </w:pPr>
    </w:p>
    <w:p w14:paraId="73F949CC">
      <w:pPr>
        <w:keepNext/>
        <w:keepLines/>
        <w:adjustRightInd w:val="0"/>
        <w:snapToGrid w:val="0"/>
        <w:spacing w:before="0" w:beforeAutospacing="0" w:after="0" w:afterAutospacing="0" w:line="360" w:lineRule="auto"/>
        <w:ind w:firstLine="482" w:firstLineChars="200"/>
        <w:outlineLvl w:val="3"/>
        <w:rPr>
          <w:rFonts w:ascii="宋体" w:cs="宋体"/>
          <w:b/>
          <w:bCs/>
          <w:sz w:val="24"/>
          <w:szCs w:val="24"/>
        </w:rPr>
      </w:pPr>
      <w:r>
        <w:rPr>
          <w:rFonts w:hint="eastAsia" w:ascii="宋体" w:hAnsi="宋体" w:cs="宋体"/>
          <w:b/>
          <w:bCs/>
          <w:sz w:val="24"/>
          <w:szCs w:val="24"/>
        </w:rPr>
        <w:t>（以下无正文）</w:t>
      </w:r>
    </w:p>
    <w:tbl>
      <w:tblPr>
        <w:tblStyle w:val="4"/>
        <w:tblW w:w="8299" w:type="dxa"/>
        <w:jc w:val="center"/>
        <w:tblLayout w:type="fixed"/>
        <w:tblCellMar>
          <w:top w:w="0" w:type="dxa"/>
          <w:left w:w="108" w:type="dxa"/>
          <w:bottom w:w="0" w:type="dxa"/>
          <w:right w:w="108" w:type="dxa"/>
        </w:tblCellMar>
      </w:tblPr>
      <w:tblGrid>
        <w:gridCol w:w="4149"/>
        <w:gridCol w:w="4150"/>
      </w:tblGrid>
      <w:tr w14:paraId="14CFC945">
        <w:tblPrEx>
          <w:tblCellMar>
            <w:top w:w="0" w:type="dxa"/>
            <w:left w:w="108" w:type="dxa"/>
            <w:bottom w:w="0" w:type="dxa"/>
            <w:right w:w="108" w:type="dxa"/>
          </w:tblCellMar>
        </w:tblPrEx>
        <w:trPr>
          <w:trHeight w:val="680" w:hRule="atLeast"/>
          <w:jc w:val="center"/>
        </w:trPr>
        <w:tc>
          <w:tcPr>
            <w:tcW w:w="4149" w:type="dxa"/>
            <w:noWrap w:val="0"/>
            <w:vAlign w:val="top"/>
          </w:tcPr>
          <w:p w14:paraId="26F7070A">
            <w:pPr>
              <w:keepNext/>
              <w:keepLines/>
              <w:spacing w:line="360" w:lineRule="auto"/>
              <w:outlineLvl w:val="3"/>
              <w:rPr>
                <w:rFonts w:ascii="宋体" w:cs="宋体"/>
                <w:bCs/>
                <w:sz w:val="24"/>
                <w:szCs w:val="24"/>
              </w:rPr>
            </w:pPr>
            <w:r>
              <w:rPr>
                <w:rFonts w:hint="eastAsia" w:ascii="宋体" w:hAnsi="宋体" w:cs="宋体"/>
                <w:bCs/>
                <w:sz w:val="24"/>
                <w:szCs w:val="24"/>
              </w:rPr>
              <w:t>甲方（盖章）：</w:t>
            </w:r>
            <w:r>
              <w:rPr>
                <w:rFonts w:ascii="宋体" w:hAnsi="宋体" w:cs="宋体"/>
                <w:bCs/>
                <w:sz w:val="24"/>
                <w:szCs w:val="24"/>
                <w:u w:val="single"/>
              </w:rPr>
              <w:t xml:space="preserve">                  </w:t>
            </w:r>
          </w:p>
        </w:tc>
        <w:tc>
          <w:tcPr>
            <w:tcW w:w="4150" w:type="dxa"/>
            <w:noWrap w:val="0"/>
            <w:vAlign w:val="top"/>
          </w:tcPr>
          <w:p w14:paraId="1A90A9BC">
            <w:pPr>
              <w:keepNext/>
              <w:keepLines/>
              <w:spacing w:line="360" w:lineRule="auto"/>
              <w:outlineLvl w:val="3"/>
              <w:rPr>
                <w:rFonts w:ascii="宋体" w:cs="宋体"/>
                <w:bCs/>
                <w:sz w:val="24"/>
                <w:szCs w:val="24"/>
              </w:rPr>
            </w:pPr>
            <w:r>
              <w:rPr>
                <w:rFonts w:hint="eastAsia" w:ascii="宋体" w:hAnsi="宋体" w:cs="宋体"/>
                <w:bCs/>
                <w:sz w:val="24"/>
                <w:szCs w:val="24"/>
              </w:rPr>
              <w:t>乙方（盖章）：</w:t>
            </w:r>
            <w:r>
              <w:rPr>
                <w:rFonts w:ascii="宋体" w:hAnsi="宋体" w:cs="宋体"/>
                <w:bCs/>
                <w:sz w:val="24"/>
                <w:szCs w:val="24"/>
                <w:u w:val="single"/>
              </w:rPr>
              <w:t xml:space="preserve">                  </w:t>
            </w:r>
          </w:p>
        </w:tc>
      </w:tr>
      <w:tr w14:paraId="055E4C5D">
        <w:tblPrEx>
          <w:tblCellMar>
            <w:top w:w="0" w:type="dxa"/>
            <w:left w:w="108" w:type="dxa"/>
            <w:bottom w:w="0" w:type="dxa"/>
            <w:right w:w="108" w:type="dxa"/>
          </w:tblCellMar>
        </w:tblPrEx>
        <w:trPr>
          <w:trHeight w:val="680" w:hRule="atLeast"/>
          <w:jc w:val="center"/>
        </w:trPr>
        <w:tc>
          <w:tcPr>
            <w:tcW w:w="4149" w:type="dxa"/>
            <w:noWrap w:val="0"/>
            <w:vAlign w:val="top"/>
          </w:tcPr>
          <w:p w14:paraId="16C47F31">
            <w:pPr>
              <w:keepNext/>
              <w:keepLines/>
              <w:spacing w:line="360" w:lineRule="auto"/>
              <w:outlineLvl w:val="3"/>
              <w:rPr>
                <w:rFonts w:ascii="宋体" w:cs="宋体"/>
                <w:bCs/>
                <w:sz w:val="24"/>
                <w:szCs w:val="24"/>
              </w:rPr>
            </w:pPr>
            <w:r>
              <w:rPr>
                <w:rFonts w:hint="eastAsia" w:ascii="宋体" w:hAnsi="宋体" w:cs="宋体"/>
                <w:bCs/>
                <w:sz w:val="24"/>
                <w:szCs w:val="24"/>
              </w:rPr>
              <w:t>统一社会信用代码：</w:t>
            </w:r>
            <w:r>
              <w:rPr>
                <w:rFonts w:ascii="宋体" w:hAnsi="宋体" w:cs="宋体"/>
                <w:bCs/>
                <w:sz w:val="24"/>
                <w:szCs w:val="24"/>
                <w:u w:val="single"/>
              </w:rPr>
              <w:t xml:space="preserve">                  </w:t>
            </w:r>
          </w:p>
        </w:tc>
        <w:tc>
          <w:tcPr>
            <w:tcW w:w="4150" w:type="dxa"/>
            <w:noWrap w:val="0"/>
            <w:vAlign w:val="top"/>
          </w:tcPr>
          <w:p w14:paraId="3211EF2E">
            <w:pPr>
              <w:keepNext/>
              <w:keepLines/>
              <w:spacing w:line="360" w:lineRule="auto"/>
              <w:outlineLvl w:val="3"/>
              <w:rPr>
                <w:rFonts w:ascii="宋体" w:cs="宋体"/>
                <w:bCs/>
                <w:sz w:val="24"/>
                <w:szCs w:val="24"/>
              </w:rPr>
            </w:pPr>
            <w:r>
              <w:rPr>
                <w:rFonts w:hint="eastAsia" w:ascii="宋体" w:hAnsi="宋体" w:cs="宋体"/>
                <w:bCs/>
                <w:sz w:val="24"/>
                <w:szCs w:val="24"/>
              </w:rPr>
              <w:t>统一社会信用代码：</w:t>
            </w:r>
            <w:r>
              <w:rPr>
                <w:rFonts w:ascii="宋体" w:hAnsi="宋体" w:cs="宋体"/>
                <w:bCs/>
                <w:sz w:val="24"/>
                <w:szCs w:val="24"/>
                <w:u w:val="single"/>
              </w:rPr>
              <w:t xml:space="preserve">                  </w:t>
            </w:r>
          </w:p>
        </w:tc>
      </w:tr>
      <w:tr w14:paraId="52D11655">
        <w:tblPrEx>
          <w:tblCellMar>
            <w:top w:w="0" w:type="dxa"/>
            <w:left w:w="108" w:type="dxa"/>
            <w:bottom w:w="0" w:type="dxa"/>
            <w:right w:w="108" w:type="dxa"/>
          </w:tblCellMar>
        </w:tblPrEx>
        <w:trPr>
          <w:trHeight w:val="766" w:hRule="atLeast"/>
          <w:jc w:val="center"/>
        </w:trPr>
        <w:tc>
          <w:tcPr>
            <w:tcW w:w="4149" w:type="dxa"/>
            <w:noWrap w:val="0"/>
            <w:vAlign w:val="top"/>
          </w:tcPr>
          <w:p w14:paraId="4EBFC296">
            <w:pPr>
              <w:keepNext/>
              <w:keepLines/>
              <w:spacing w:before="0" w:beforeAutospacing="0" w:after="0" w:afterAutospacing="0" w:line="360" w:lineRule="auto"/>
              <w:outlineLvl w:val="3"/>
              <w:rPr>
                <w:rFonts w:ascii="宋体" w:cs="宋体"/>
                <w:bCs/>
                <w:sz w:val="24"/>
                <w:szCs w:val="24"/>
              </w:rPr>
            </w:pPr>
            <w:r>
              <w:rPr>
                <w:rFonts w:hint="eastAsia" w:ascii="宋体" w:hAnsi="宋体" w:cs="宋体"/>
                <w:bCs/>
                <w:sz w:val="24"/>
                <w:szCs w:val="24"/>
              </w:rPr>
              <w:t>负责人或</w:t>
            </w:r>
          </w:p>
          <w:p w14:paraId="76D73FFC">
            <w:pPr>
              <w:keepNext/>
              <w:keepLines/>
              <w:spacing w:before="0" w:beforeAutospacing="0" w:after="0" w:afterAutospacing="0" w:line="360" w:lineRule="auto"/>
              <w:outlineLvl w:val="3"/>
              <w:rPr>
                <w:rFonts w:ascii="宋体" w:cs="宋体"/>
                <w:bCs/>
                <w:sz w:val="24"/>
                <w:szCs w:val="24"/>
              </w:rPr>
            </w:pPr>
            <w:r>
              <w:rPr>
                <w:rFonts w:hint="eastAsia" w:ascii="宋体" w:hAnsi="宋体" w:cs="宋体"/>
                <w:bCs/>
                <w:sz w:val="24"/>
                <w:szCs w:val="24"/>
              </w:rPr>
              <w:t>委托代理人（签字）：</w:t>
            </w:r>
            <w:r>
              <w:rPr>
                <w:rFonts w:ascii="宋体" w:hAnsi="宋体" w:cs="宋体"/>
                <w:bCs/>
                <w:sz w:val="24"/>
                <w:szCs w:val="24"/>
                <w:u w:val="single"/>
              </w:rPr>
              <w:t xml:space="preserve">                  </w:t>
            </w:r>
          </w:p>
          <w:p w14:paraId="2FF5D598">
            <w:pPr>
              <w:keepNext/>
              <w:keepLines/>
              <w:spacing w:before="0" w:beforeAutospacing="0" w:after="0" w:afterAutospacing="0"/>
              <w:outlineLvl w:val="3"/>
              <w:rPr>
                <w:rFonts w:ascii="宋体" w:cs="宋体"/>
                <w:bCs/>
                <w:sz w:val="24"/>
                <w:szCs w:val="24"/>
              </w:rPr>
            </w:pPr>
          </w:p>
        </w:tc>
        <w:tc>
          <w:tcPr>
            <w:tcW w:w="4150" w:type="dxa"/>
            <w:noWrap w:val="0"/>
            <w:vAlign w:val="top"/>
          </w:tcPr>
          <w:p w14:paraId="40365FAC">
            <w:pPr>
              <w:keepNext/>
              <w:keepLines/>
              <w:spacing w:before="0" w:beforeAutospacing="0" w:after="0" w:afterAutospacing="0" w:line="360" w:lineRule="auto"/>
              <w:outlineLvl w:val="3"/>
              <w:rPr>
                <w:rFonts w:ascii="宋体" w:cs="宋体"/>
                <w:bCs/>
                <w:sz w:val="24"/>
                <w:szCs w:val="24"/>
              </w:rPr>
            </w:pPr>
            <w:r>
              <w:rPr>
                <w:rFonts w:hint="eastAsia" w:ascii="宋体" w:hAnsi="宋体" w:cs="宋体"/>
                <w:bCs/>
                <w:sz w:val="24"/>
                <w:szCs w:val="24"/>
              </w:rPr>
              <w:t>法定代表人</w:t>
            </w:r>
          </w:p>
          <w:p w14:paraId="42A83699">
            <w:pPr>
              <w:keepNext/>
              <w:keepLines/>
              <w:spacing w:before="0" w:beforeAutospacing="0" w:after="0" w:afterAutospacing="0" w:line="360" w:lineRule="auto"/>
              <w:outlineLvl w:val="3"/>
              <w:rPr>
                <w:rFonts w:ascii="宋体" w:cs="宋体"/>
                <w:bCs/>
                <w:sz w:val="24"/>
                <w:szCs w:val="24"/>
              </w:rPr>
            </w:pPr>
            <w:r>
              <w:rPr>
                <w:rFonts w:hint="eastAsia" w:ascii="宋体" w:hAnsi="宋体" w:cs="宋体"/>
                <w:bCs/>
                <w:sz w:val="24"/>
                <w:szCs w:val="24"/>
              </w:rPr>
              <w:t>或委托代理人（签字）：</w:t>
            </w:r>
            <w:r>
              <w:rPr>
                <w:rFonts w:ascii="宋体" w:hAnsi="宋体" w:cs="宋体"/>
                <w:bCs/>
                <w:sz w:val="24"/>
                <w:szCs w:val="24"/>
                <w:u w:val="single"/>
              </w:rPr>
              <w:t xml:space="preserve">                  </w:t>
            </w:r>
          </w:p>
        </w:tc>
      </w:tr>
      <w:tr w14:paraId="4D85F1D8">
        <w:tblPrEx>
          <w:tblCellMar>
            <w:top w:w="0" w:type="dxa"/>
            <w:left w:w="108" w:type="dxa"/>
            <w:bottom w:w="0" w:type="dxa"/>
            <w:right w:w="108" w:type="dxa"/>
          </w:tblCellMar>
        </w:tblPrEx>
        <w:trPr>
          <w:trHeight w:val="680" w:hRule="atLeast"/>
          <w:jc w:val="center"/>
        </w:trPr>
        <w:tc>
          <w:tcPr>
            <w:tcW w:w="4149" w:type="dxa"/>
            <w:noWrap w:val="0"/>
            <w:vAlign w:val="top"/>
          </w:tcPr>
          <w:p w14:paraId="27B81825">
            <w:pPr>
              <w:keepNext/>
              <w:keepLines/>
              <w:spacing w:line="360" w:lineRule="auto"/>
              <w:outlineLvl w:val="3"/>
              <w:rPr>
                <w:rFonts w:ascii="宋体" w:cs="宋体"/>
                <w:bCs/>
                <w:sz w:val="24"/>
                <w:szCs w:val="24"/>
              </w:rPr>
            </w:pPr>
            <w:r>
              <w:rPr>
                <w:rFonts w:hint="eastAsia" w:ascii="宋体" w:hAnsi="宋体" w:cs="宋体"/>
                <w:bCs/>
                <w:sz w:val="24"/>
                <w:szCs w:val="24"/>
              </w:rPr>
              <w:t>地址：</w:t>
            </w:r>
            <w:r>
              <w:rPr>
                <w:rFonts w:ascii="宋体" w:hAnsi="宋体" w:cs="宋体"/>
                <w:bCs/>
                <w:sz w:val="24"/>
                <w:szCs w:val="24"/>
                <w:u w:val="single"/>
              </w:rPr>
              <w:t xml:space="preserve">                          </w:t>
            </w:r>
          </w:p>
        </w:tc>
        <w:tc>
          <w:tcPr>
            <w:tcW w:w="4150" w:type="dxa"/>
            <w:noWrap w:val="0"/>
            <w:vAlign w:val="top"/>
          </w:tcPr>
          <w:p w14:paraId="599E380B">
            <w:pPr>
              <w:keepNext/>
              <w:keepLines/>
              <w:spacing w:line="360" w:lineRule="auto"/>
              <w:outlineLvl w:val="3"/>
              <w:rPr>
                <w:rFonts w:ascii="宋体" w:cs="宋体"/>
                <w:bCs/>
                <w:sz w:val="24"/>
                <w:szCs w:val="24"/>
              </w:rPr>
            </w:pPr>
            <w:r>
              <w:rPr>
                <w:rFonts w:hint="eastAsia" w:ascii="宋体" w:hAnsi="宋体" w:cs="宋体"/>
                <w:bCs/>
                <w:sz w:val="24"/>
                <w:szCs w:val="24"/>
              </w:rPr>
              <w:t>地址：</w:t>
            </w:r>
            <w:r>
              <w:rPr>
                <w:rFonts w:ascii="宋体" w:hAnsi="宋体" w:cs="宋体"/>
                <w:bCs/>
                <w:sz w:val="24"/>
                <w:szCs w:val="24"/>
                <w:u w:val="single"/>
              </w:rPr>
              <w:t xml:space="preserve">                           </w:t>
            </w:r>
          </w:p>
        </w:tc>
      </w:tr>
      <w:tr w14:paraId="3BE2AEBF">
        <w:tblPrEx>
          <w:tblCellMar>
            <w:top w:w="0" w:type="dxa"/>
            <w:left w:w="108" w:type="dxa"/>
            <w:bottom w:w="0" w:type="dxa"/>
            <w:right w:w="108" w:type="dxa"/>
          </w:tblCellMar>
        </w:tblPrEx>
        <w:trPr>
          <w:trHeight w:val="680" w:hRule="atLeast"/>
          <w:jc w:val="center"/>
        </w:trPr>
        <w:tc>
          <w:tcPr>
            <w:tcW w:w="4149" w:type="dxa"/>
            <w:noWrap w:val="0"/>
            <w:vAlign w:val="top"/>
          </w:tcPr>
          <w:p w14:paraId="11D4D972">
            <w:pPr>
              <w:keepNext/>
              <w:keepLines/>
              <w:spacing w:line="360" w:lineRule="auto"/>
              <w:outlineLvl w:val="3"/>
              <w:rPr>
                <w:rFonts w:ascii="宋体" w:cs="宋体"/>
                <w:bCs/>
                <w:sz w:val="24"/>
                <w:szCs w:val="24"/>
              </w:rPr>
            </w:pPr>
            <w:r>
              <w:rPr>
                <w:rFonts w:hint="eastAsia" w:ascii="宋体" w:hAnsi="宋体" w:cs="宋体"/>
                <w:bCs/>
                <w:sz w:val="24"/>
                <w:szCs w:val="24"/>
              </w:rPr>
              <w:t>联系电话：</w:t>
            </w:r>
            <w:r>
              <w:rPr>
                <w:rFonts w:ascii="宋体" w:hAnsi="宋体" w:cs="宋体"/>
                <w:bCs/>
                <w:sz w:val="24"/>
                <w:szCs w:val="24"/>
                <w:u w:val="single"/>
              </w:rPr>
              <w:t xml:space="preserve">                      </w:t>
            </w:r>
          </w:p>
        </w:tc>
        <w:tc>
          <w:tcPr>
            <w:tcW w:w="4150" w:type="dxa"/>
            <w:noWrap w:val="0"/>
            <w:vAlign w:val="top"/>
          </w:tcPr>
          <w:p w14:paraId="4F262999">
            <w:pPr>
              <w:keepNext/>
              <w:keepLines/>
              <w:spacing w:line="360" w:lineRule="auto"/>
              <w:outlineLvl w:val="3"/>
              <w:rPr>
                <w:rFonts w:ascii="宋体" w:cs="宋体"/>
                <w:bCs/>
                <w:sz w:val="24"/>
                <w:szCs w:val="24"/>
              </w:rPr>
            </w:pPr>
            <w:r>
              <w:rPr>
                <w:rFonts w:hint="eastAsia" w:ascii="宋体" w:hAnsi="宋体" w:cs="宋体"/>
                <w:bCs/>
                <w:sz w:val="24"/>
                <w:szCs w:val="24"/>
              </w:rPr>
              <w:t>联系电话：</w:t>
            </w:r>
            <w:r>
              <w:rPr>
                <w:rFonts w:ascii="宋体" w:hAnsi="宋体" w:cs="宋体"/>
                <w:bCs/>
                <w:sz w:val="24"/>
                <w:szCs w:val="24"/>
                <w:u w:val="single"/>
              </w:rPr>
              <w:t xml:space="preserve">                       </w:t>
            </w:r>
          </w:p>
        </w:tc>
      </w:tr>
      <w:tr w14:paraId="5E1AE82C">
        <w:tblPrEx>
          <w:tblCellMar>
            <w:top w:w="0" w:type="dxa"/>
            <w:left w:w="108" w:type="dxa"/>
            <w:bottom w:w="0" w:type="dxa"/>
            <w:right w:w="108" w:type="dxa"/>
          </w:tblCellMar>
        </w:tblPrEx>
        <w:trPr>
          <w:trHeight w:val="680" w:hRule="atLeast"/>
          <w:jc w:val="center"/>
        </w:trPr>
        <w:tc>
          <w:tcPr>
            <w:tcW w:w="4149" w:type="dxa"/>
            <w:noWrap w:val="0"/>
            <w:vAlign w:val="top"/>
          </w:tcPr>
          <w:p w14:paraId="0A549D90">
            <w:pPr>
              <w:keepNext/>
              <w:keepLines/>
              <w:spacing w:line="360" w:lineRule="auto"/>
              <w:outlineLvl w:val="3"/>
              <w:rPr>
                <w:rFonts w:ascii="宋体" w:cs="宋体"/>
                <w:bCs/>
                <w:sz w:val="24"/>
                <w:szCs w:val="24"/>
              </w:rPr>
            </w:pPr>
            <w:r>
              <w:rPr>
                <w:rFonts w:hint="eastAsia" w:ascii="宋体" w:hAnsi="宋体" w:cs="宋体"/>
                <w:bCs/>
                <w:sz w:val="24"/>
                <w:szCs w:val="24"/>
              </w:rPr>
              <w:t>开户银行：</w:t>
            </w:r>
            <w:r>
              <w:rPr>
                <w:rFonts w:ascii="宋体" w:hAnsi="宋体" w:cs="宋体"/>
                <w:bCs/>
                <w:sz w:val="24"/>
                <w:szCs w:val="24"/>
                <w:u w:val="single"/>
              </w:rPr>
              <w:t xml:space="preserve">                      </w:t>
            </w:r>
          </w:p>
        </w:tc>
        <w:tc>
          <w:tcPr>
            <w:tcW w:w="4150" w:type="dxa"/>
            <w:noWrap w:val="0"/>
            <w:vAlign w:val="top"/>
          </w:tcPr>
          <w:p w14:paraId="18161867">
            <w:pPr>
              <w:keepNext/>
              <w:keepLines/>
              <w:spacing w:line="360" w:lineRule="auto"/>
              <w:outlineLvl w:val="3"/>
              <w:rPr>
                <w:rFonts w:ascii="宋体" w:cs="宋体"/>
                <w:bCs/>
                <w:sz w:val="24"/>
                <w:szCs w:val="24"/>
              </w:rPr>
            </w:pPr>
            <w:r>
              <w:rPr>
                <w:rFonts w:hint="eastAsia" w:ascii="宋体" w:hAnsi="宋体" w:cs="宋体"/>
                <w:bCs/>
                <w:sz w:val="24"/>
                <w:szCs w:val="24"/>
              </w:rPr>
              <w:t>开户银行：</w:t>
            </w:r>
            <w:r>
              <w:rPr>
                <w:rFonts w:ascii="宋体" w:hAnsi="宋体" w:cs="宋体"/>
                <w:bCs/>
                <w:sz w:val="24"/>
                <w:szCs w:val="24"/>
              </w:rPr>
              <w:t xml:space="preserve"> </w:t>
            </w:r>
            <w:r>
              <w:rPr>
                <w:rFonts w:ascii="宋体" w:hAnsi="宋体" w:cs="宋体"/>
                <w:bCs/>
                <w:sz w:val="24"/>
                <w:szCs w:val="24"/>
                <w:u w:val="single"/>
              </w:rPr>
              <w:t xml:space="preserve">                      </w:t>
            </w:r>
            <w:r>
              <w:rPr>
                <w:rFonts w:ascii="宋体" w:hAnsi="宋体" w:cs="宋体"/>
                <w:bCs/>
                <w:sz w:val="24"/>
                <w:szCs w:val="24"/>
              </w:rPr>
              <w:t xml:space="preserve">               </w:t>
            </w:r>
          </w:p>
        </w:tc>
      </w:tr>
      <w:tr w14:paraId="75801C9C">
        <w:tblPrEx>
          <w:tblCellMar>
            <w:top w:w="0" w:type="dxa"/>
            <w:left w:w="108" w:type="dxa"/>
            <w:bottom w:w="0" w:type="dxa"/>
            <w:right w:w="108" w:type="dxa"/>
          </w:tblCellMar>
        </w:tblPrEx>
        <w:trPr>
          <w:trHeight w:val="680" w:hRule="atLeast"/>
          <w:jc w:val="center"/>
        </w:trPr>
        <w:tc>
          <w:tcPr>
            <w:tcW w:w="4149" w:type="dxa"/>
            <w:noWrap w:val="0"/>
            <w:vAlign w:val="top"/>
          </w:tcPr>
          <w:p w14:paraId="207D1CEB">
            <w:pPr>
              <w:keepNext/>
              <w:keepLines/>
              <w:spacing w:line="360" w:lineRule="auto"/>
              <w:outlineLvl w:val="3"/>
              <w:rPr>
                <w:rFonts w:ascii="宋体" w:cs="宋体"/>
                <w:bCs/>
                <w:sz w:val="24"/>
                <w:szCs w:val="24"/>
              </w:rPr>
            </w:pPr>
            <w:r>
              <w:rPr>
                <w:rFonts w:hint="eastAsia" w:ascii="宋体" w:hAnsi="宋体" w:cs="宋体"/>
                <w:bCs/>
                <w:sz w:val="24"/>
                <w:szCs w:val="24"/>
              </w:rPr>
              <w:t>银行账号：</w:t>
            </w:r>
            <w:r>
              <w:rPr>
                <w:rFonts w:ascii="宋体" w:hAnsi="宋体" w:cs="宋体"/>
                <w:bCs/>
                <w:sz w:val="24"/>
                <w:szCs w:val="24"/>
                <w:u w:val="single"/>
              </w:rPr>
              <w:t xml:space="preserve">                      </w:t>
            </w:r>
          </w:p>
        </w:tc>
        <w:tc>
          <w:tcPr>
            <w:tcW w:w="4150" w:type="dxa"/>
            <w:noWrap w:val="0"/>
            <w:vAlign w:val="top"/>
          </w:tcPr>
          <w:p w14:paraId="7EF709D6">
            <w:pPr>
              <w:keepNext/>
              <w:keepLines/>
              <w:spacing w:line="360" w:lineRule="auto"/>
              <w:outlineLvl w:val="3"/>
              <w:rPr>
                <w:rFonts w:ascii="宋体" w:cs="宋体"/>
                <w:bCs/>
                <w:sz w:val="24"/>
                <w:szCs w:val="24"/>
              </w:rPr>
            </w:pPr>
            <w:r>
              <w:rPr>
                <w:rFonts w:hint="eastAsia" w:ascii="宋体" w:hAnsi="宋体" w:cs="宋体"/>
                <w:bCs/>
                <w:sz w:val="24"/>
                <w:szCs w:val="24"/>
              </w:rPr>
              <w:t>银行账号：</w:t>
            </w:r>
            <w:r>
              <w:rPr>
                <w:rFonts w:ascii="宋体" w:hAnsi="宋体" w:cs="宋体"/>
                <w:bCs/>
                <w:sz w:val="24"/>
                <w:szCs w:val="24"/>
                <w:u w:val="single"/>
              </w:rPr>
              <w:t xml:space="preserve">                       </w:t>
            </w:r>
          </w:p>
        </w:tc>
      </w:tr>
      <w:tr w14:paraId="75933B8B">
        <w:tblPrEx>
          <w:tblCellMar>
            <w:top w:w="0" w:type="dxa"/>
            <w:left w:w="108" w:type="dxa"/>
            <w:bottom w:w="0" w:type="dxa"/>
            <w:right w:w="108" w:type="dxa"/>
          </w:tblCellMar>
        </w:tblPrEx>
        <w:trPr>
          <w:trHeight w:val="680" w:hRule="atLeast"/>
          <w:jc w:val="center"/>
        </w:trPr>
        <w:tc>
          <w:tcPr>
            <w:tcW w:w="4149" w:type="dxa"/>
            <w:noWrap w:val="0"/>
            <w:vAlign w:val="top"/>
          </w:tcPr>
          <w:p w14:paraId="5E8CD5A7">
            <w:pPr>
              <w:keepNext/>
              <w:keepLines/>
              <w:spacing w:line="360" w:lineRule="auto"/>
              <w:outlineLvl w:val="3"/>
              <w:rPr>
                <w:rFonts w:ascii="宋体" w:cs="宋体"/>
                <w:bCs/>
                <w:sz w:val="24"/>
                <w:szCs w:val="24"/>
              </w:rPr>
            </w:pPr>
            <w:r>
              <w:rPr>
                <w:rFonts w:hint="eastAsia" w:ascii="宋体" w:hAnsi="宋体" w:cs="宋体"/>
                <w:bCs/>
                <w:sz w:val="24"/>
                <w:szCs w:val="24"/>
              </w:rPr>
              <w:t>签订日期：</w:t>
            </w:r>
            <w:r>
              <w:rPr>
                <w:rFonts w:ascii="宋体" w:hAnsi="宋体" w:cs="宋体"/>
                <w:bCs/>
                <w:sz w:val="24"/>
                <w:szCs w:val="24"/>
                <w:u w:val="single"/>
              </w:rPr>
              <w:t xml:space="preserve">    </w:t>
            </w:r>
            <w:r>
              <w:rPr>
                <w:rFonts w:hint="eastAsia" w:ascii="宋体" w:hAnsi="宋体" w:cs="宋体"/>
                <w:bCs/>
                <w:sz w:val="24"/>
                <w:szCs w:val="24"/>
              </w:rPr>
              <w:t>年</w:t>
            </w:r>
            <w:r>
              <w:rPr>
                <w:rFonts w:ascii="宋体" w:hAnsi="宋体" w:cs="宋体"/>
                <w:bCs/>
                <w:sz w:val="24"/>
                <w:szCs w:val="24"/>
                <w:u w:val="single"/>
              </w:rPr>
              <w:t xml:space="preserve">    </w:t>
            </w:r>
            <w:r>
              <w:rPr>
                <w:rFonts w:hint="eastAsia" w:ascii="宋体" w:hAnsi="宋体" w:cs="宋体"/>
                <w:bCs/>
                <w:sz w:val="24"/>
                <w:szCs w:val="24"/>
              </w:rPr>
              <w:t>月</w:t>
            </w:r>
            <w:r>
              <w:rPr>
                <w:rFonts w:ascii="宋体" w:hAnsi="宋体" w:cs="宋体"/>
                <w:bCs/>
                <w:sz w:val="24"/>
                <w:szCs w:val="24"/>
                <w:u w:val="single"/>
              </w:rPr>
              <w:t xml:space="preserve">    </w:t>
            </w:r>
            <w:r>
              <w:rPr>
                <w:rFonts w:hint="eastAsia" w:ascii="宋体" w:hAnsi="宋体" w:cs="宋体"/>
                <w:bCs/>
                <w:sz w:val="24"/>
                <w:szCs w:val="24"/>
              </w:rPr>
              <w:t>日</w:t>
            </w:r>
          </w:p>
        </w:tc>
        <w:tc>
          <w:tcPr>
            <w:tcW w:w="4150" w:type="dxa"/>
            <w:noWrap w:val="0"/>
            <w:vAlign w:val="top"/>
          </w:tcPr>
          <w:p w14:paraId="7128E3F9">
            <w:pPr>
              <w:keepNext/>
              <w:keepLines/>
              <w:spacing w:line="360" w:lineRule="auto"/>
              <w:outlineLvl w:val="3"/>
              <w:rPr>
                <w:rFonts w:ascii="宋体" w:cs="宋体"/>
                <w:bCs/>
                <w:sz w:val="24"/>
                <w:szCs w:val="24"/>
              </w:rPr>
            </w:pPr>
            <w:r>
              <w:rPr>
                <w:rFonts w:hint="eastAsia" w:ascii="宋体" w:hAnsi="宋体" w:cs="宋体"/>
                <w:bCs/>
                <w:sz w:val="24"/>
                <w:szCs w:val="24"/>
              </w:rPr>
              <w:t>签订日期：</w:t>
            </w:r>
            <w:r>
              <w:rPr>
                <w:rFonts w:ascii="宋体" w:hAnsi="宋体" w:cs="宋体"/>
                <w:bCs/>
                <w:sz w:val="24"/>
                <w:szCs w:val="24"/>
                <w:u w:val="single"/>
              </w:rPr>
              <w:t xml:space="preserve">    </w:t>
            </w:r>
            <w:r>
              <w:rPr>
                <w:rFonts w:hint="eastAsia" w:ascii="宋体" w:hAnsi="宋体" w:cs="宋体"/>
                <w:bCs/>
                <w:sz w:val="24"/>
                <w:szCs w:val="24"/>
              </w:rPr>
              <w:t>年</w:t>
            </w:r>
            <w:r>
              <w:rPr>
                <w:rFonts w:ascii="宋体" w:hAnsi="宋体" w:cs="宋体"/>
                <w:bCs/>
                <w:sz w:val="24"/>
                <w:szCs w:val="24"/>
                <w:u w:val="single"/>
              </w:rPr>
              <w:t xml:space="preserve">    </w:t>
            </w:r>
            <w:r>
              <w:rPr>
                <w:rFonts w:hint="eastAsia" w:ascii="宋体" w:hAnsi="宋体" w:cs="宋体"/>
                <w:bCs/>
                <w:sz w:val="24"/>
                <w:szCs w:val="24"/>
              </w:rPr>
              <w:t>月</w:t>
            </w:r>
            <w:r>
              <w:rPr>
                <w:rFonts w:ascii="宋体" w:hAnsi="宋体" w:cs="宋体"/>
                <w:bCs/>
                <w:sz w:val="24"/>
                <w:szCs w:val="24"/>
                <w:u w:val="single"/>
              </w:rPr>
              <w:t xml:space="preserve">    </w:t>
            </w:r>
            <w:r>
              <w:rPr>
                <w:rFonts w:hint="eastAsia" w:ascii="宋体" w:hAnsi="宋体" w:cs="宋体"/>
                <w:bCs/>
                <w:sz w:val="24"/>
                <w:szCs w:val="24"/>
              </w:rPr>
              <w:t>日</w:t>
            </w:r>
          </w:p>
        </w:tc>
      </w:tr>
    </w:tbl>
    <w:p w14:paraId="54E8ED5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9258C1"/>
    <w:rsid w:val="4B925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spacing w:beforeAutospacing="0" w:afterAutospacing="0"/>
      <w:jc w:val="center"/>
      <w:outlineLvl w:val="0"/>
    </w:pPr>
    <w:rPr>
      <w:b/>
      <w:kern w:val="0"/>
      <w:sz w:val="36"/>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2026-07-23T03:43:00Z</dcterms:created>
  <dc:creator>一疋布</dc:creator>
  <cp:lastModifiedBy>一疋布</cp:lastModifiedBy>
  <dcterms:modified xsi:type="dcterms:W3CDTF">2026-07-23T03:45:30Z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1B3CB3BEF45E4279BC80AE07E448C768_11</vt:lpwstr>
  </property>
  <property fmtid="{D5CDD505-2E9C-101B-9397-08002B2CF9AE}" pid="4" name="KSOTemplateDocerSaveRecord">
    <vt:lpwstr>eyJoZGlkIjoiYTg0MGI5NDNhZTM2MmNjNWQxMjRjZmIyZjJkYzlmZTUiLCJ1c2VySWQiOiI0NTc5ODEwMzIifQ==</vt:lpwstr>
  </property>
</Properties>
</file>