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1D95E">
      <w:pPr>
        <w:snapToGrid w:val="0"/>
        <w:spacing w:line="360" w:lineRule="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r>
        <w:rPr>
          <w:rFonts w:hint="eastAsia" w:ascii="仿宋" w:hAnsi="仿宋" w:eastAsia="仿宋" w:cs="仿宋"/>
          <w:b/>
          <w:bCs/>
          <w:color w:val="000000"/>
          <w:sz w:val="32"/>
          <w:szCs w:val="32"/>
        </w:rPr>
        <w:t xml:space="preserve">   </w:t>
      </w:r>
      <w:r>
        <w:rPr>
          <w:rFonts w:hint="eastAsia" w:ascii="仿宋" w:hAnsi="仿宋" w:eastAsia="仿宋" w:cs="仿宋"/>
          <w:b/>
          <w:bCs/>
          <w:color w:val="000000"/>
          <w:sz w:val="32"/>
          <w:szCs w:val="32"/>
          <w:u w:val="single"/>
        </w:rPr>
        <w:t xml:space="preserve"> </w:t>
      </w:r>
      <w:r>
        <w:rPr>
          <w:rFonts w:hint="eastAsia" w:ascii="仿宋" w:hAnsi="仿宋" w:eastAsia="仿宋" w:cs="仿宋"/>
          <w:b/>
          <w:bCs/>
          <w:color w:val="000000"/>
          <w:sz w:val="32"/>
          <w:szCs w:val="32"/>
          <w:u w:val="single"/>
          <w:lang w:val="en-US" w:eastAsia="zh-CN"/>
        </w:rPr>
        <w:t>合同草案仅供参考</w:t>
      </w:r>
      <w:r>
        <w:rPr>
          <w:rFonts w:hint="eastAsia" w:ascii="仿宋" w:hAnsi="仿宋" w:eastAsia="仿宋" w:cs="仿宋"/>
          <w:b/>
          <w:bCs/>
          <w:color w:val="000000"/>
          <w:sz w:val="32"/>
          <w:szCs w:val="32"/>
          <w:u w:val="single"/>
        </w:rPr>
        <w:t xml:space="preserve"> </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 xml:space="preserve">                </w:t>
      </w:r>
    </w:p>
    <w:p w14:paraId="67A673B8">
      <w:pPr>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 xml:space="preserve">              </w:t>
      </w:r>
      <w:bookmarkStart w:id="0" w:name="_GoBack"/>
      <w:bookmarkEnd w:id="0"/>
    </w:p>
    <w:p w14:paraId="1268C1AD">
      <w:pPr>
        <w:snapToGrid w:val="0"/>
        <w:spacing w:line="360" w:lineRule="auto"/>
        <w:jc w:val="center"/>
        <w:rPr>
          <w:rFonts w:hint="eastAsia" w:ascii="仿宋" w:hAnsi="仿宋" w:eastAsia="仿宋" w:cs="仿宋"/>
          <w:color w:val="000000"/>
          <w:sz w:val="24"/>
        </w:rPr>
      </w:pPr>
    </w:p>
    <w:p w14:paraId="4057EF62">
      <w:pPr>
        <w:snapToGrid w:val="0"/>
        <w:spacing w:line="360" w:lineRule="auto"/>
        <w:jc w:val="center"/>
        <w:rPr>
          <w:rFonts w:hint="eastAsia" w:ascii="仿宋" w:hAnsi="仿宋" w:eastAsia="仿宋" w:cs="仿宋"/>
          <w:color w:val="000000"/>
          <w:sz w:val="24"/>
        </w:rPr>
      </w:pPr>
    </w:p>
    <w:p w14:paraId="2CBFA923">
      <w:pPr>
        <w:snapToGrid w:val="0"/>
        <w:spacing w:line="360" w:lineRule="auto"/>
        <w:jc w:val="center"/>
        <w:rPr>
          <w:rFonts w:hint="eastAsia" w:ascii="仿宋" w:hAnsi="仿宋" w:eastAsia="仿宋" w:cs="仿宋"/>
          <w:b/>
          <w:color w:val="000000"/>
          <w:sz w:val="56"/>
          <w:szCs w:val="56"/>
          <w:lang w:val="zh-CN"/>
        </w:rPr>
      </w:pPr>
      <w:r>
        <w:rPr>
          <w:rFonts w:hint="eastAsia" w:ascii="仿宋" w:hAnsi="仿宋" w:eastAsia="仿宋" w:cs="仿宋"/>
          <w:b/>
          <w:color w:val="000000"/>
          <w:sz w:val="56"/>
          <w:szCs w:val="56"/>
          <w:lang w:val="zh-CN"/>
        </w:rPr>
        <w:t>2025年基层农技推广体系改革与建设项目</w:t>
      </w:r>
    </w:p>
    <w:p w14:paraId="252233AF">
      <w:pPr>
        <w:snapToGrid w:val="0"/>
        <w:spacing w:line="360" w:lineRule="auto"/>
        <w:jc w:val="center"/>
        <w:rPr>
          <w:rFonts w:hint="eastAsia" w:ascii="仿宋" w:hAnsi="仿宋" w:eastAsia="仿宋" w:cs="仿宋"/>
          <w:b/>
          <w:color w:val="000000"/>
          <w:sz w:val="72"/>
          <w:szCs w:val="72"/>
          <w:lang w:val="zh-CN"/>
        </w:rPr>
      </w:pPr>
    </w:p>
    <w:p w14:paraId="476A509B">
      <w:pPr>
        <w:snapToGrid w:val="0"/>
        <w:spacing w:line="360" w:lineRule="auto"/>
        <w:jc w:val="center"/>
        <w:rPr>
          <w:rFonts w:hint="eastAsia" w:ascii="仿宋" w:hAnsi="仿宋" w:eastAsia="仿宋" w:cs="仿宋"/>
          <w:b/>
          <w:color w:val="000000"/>
          <w:sz w:val="72"/>
          <w:szCs w:val="72"/>
          <w14:shadow w14:blurRad="50800" w14:dist="38100" w14:dir="2700000" w14:sx="100000" w14:sy="100000" w14:kx="0" w14:ky="0" w14:algn="tl">
            <w14:srgbClr w14:val="000000">
              <w14:alpha w14:val="60000"/>
            </w14:srgbClr>
          </w14:shadow>
        </w:rPr>
      </w:pPr>
      <w:r>
        <w:rPr>
          <w:rFonts w:hint="eastAsia" w:ascii="仿宋" w:hAnsi="仿宋" w:eastAsia="仿宋" w:cs="仿宋"/>
          <w:b/>
          <w:color w:val="000000"/>
          <w:sz w:val="56"/>
          <w:szCs w:val="56"/>
          <w:lang w:val="zh-CN"/>
        </w:rPr>
        <w:t>货物采购项目供货合同</w:t>
      </w:r>
    </w:p>
    <w:p w14:paraId="23B3B521">
      <w:pPr>
        <w:snapToGrid w:val="0"/>
        <w:spacing w:line="360" w:lineRule="auto"/>
        <w:rPr>
          <w:rFonts w:hint="eastAsia" w:ascii="仿宋" w:hAnsi="仿宋" w:eastAsia="仿宋" w:cs="仿宋"/>
          <w:color w:val="000000"/>
          <w:sz w:val="24"/>
        </w:rPr>
      </w:pPr>
    </w:p>
    <w:p w14:paraId="349DA645">
      <w:pPr>
        <w:snapToGrid w:val="0"/>
        <w:spacing w:line="360" w:lineRule="auto"/>
        <w:rPr>
          <w:rFonts w:hint="eastAsia" w:ascii="仿宋" w:hAnsi="仿宋" w:eastAsia="仿宋" w:cs="仿宋"/>
          <w:color w:val="000000"/>
          <w:sz w:val="24"/>
        </w:rPr>
      </w:pPr>
    </w:p>
    <w:p w14:paraId="6C95868F">
      <w:pPr>
        <w:snapToGrid w:val="0"/>
        <w:spacing w:line="360" w:lineRule="auto"/>
        <w:rPr>
          <w:rFonts w:hint="eastAsia" w:ascii="仿宋" w:hAnsi="仿宋" w:eastAsia="仿宋" w:cs="仿宋"/>
          <w:color w:val="000000"/>
          <w:sz w:val="24"/>
        </w:rPr>
      </w:pPr>
    </w:p>
    <w:p w14:paraId="3C36606F">
      <w:pPr>
        <w:snapToGrid w:val="0"/>
        <w:spacing w:line="360" w:lineRule="auto"/>
        <w:rPr>
          <w:rFonts w:hint="eastAsia" w:ascii="仿宋" w:hAnsi="仿宋" w:eastAsia="仿宋" w:cs="仿宋"/>
          <w:color w:val="000000"/>
          <w:sz w:val="24"/>
        </w:rPr>
      </w:pPr>
    </w:p>
    <w:p w14:paraId="3349C69C">
      <w:pPr>
        <w:snapToGrid w:val="0"/>
        <w:spacing w:line="360" w:lineRule="auto"/>
        <w:rPr>
          <w:rFonts w:hint="eastAsia" w:ascii="仿宋" w:hAnsi="仿宋" w:eastAsia="仿宋" w:cs="仿宋"/>
          <w:color w:val="000000"/>
          <w:sz w:val="24"/>
        </w:rPr>
      </w:pPr>
    </w:p>
    <w:p w14:paraId="26AD456F">
      <w:pPr>
        <w:widowControl/>
        <w:snapToGrid w:val="0"/>
        <w:spacing w:line="360" w:lineRule="auto"/>
        <w:ind w:firstLine="1400" w:firstLineChars="500"/>
        <w:textAlignment w:val="baseline"/>
        <w:rPr>
          <w:rFonts w:hint="eastAsia" w:ascii="宋体" w:hAnsi="宋体" w:eastAsia="宋体" w:cs="宋体"/>
          <w:sz w:val="28"/>
          <w:szCs w:val="28"/>
          <w:u w:val="single"/>
        </w:rPr>
      </w:pPr>
      <w:r>
        <w:rPr>
          <w:rFonts w:hint="eastAsia" w:ascii="宋体" w:hAnsi="宋体" w:eastAsia="宋体" w:cs="宋体"/>
          <w:sz w:val="28"/>
          <w:szCs w:val="28"/>
        </w:rPr>
        <w:t xml:space="preserve"> 甲方：</w:t>
      </w:r>
      <w:r>
        <w:rPr>
          <w:rFonts w:hint="eastAsia" w:ascii="宋体" w:hAnsi="宋体" w:eastAsia="宋体" w:cs="宋体"/>
          <w:sz w:val="28"/>
          <w:szCs w:val="28"/>
          <w:u w:val="single" w:color="000000"/>
        </w:rPr>
        <w:t xml:space="preserve">                                  </w:t>
      </w:r>
    </w:p>
    <w:p w14:paraId="19BBCE20">
      <w:pPr>
        <w:widowControl/>
        <w:snapToGrid w:val="0"/>
        <w:spacing w:line="360" w:lineRule="auto"/>
        <w:textAlignment w:val="baseline"/>
        <w:rPr>
          <w:rFonts w:hint="eastAsia" w:ascii="宋体" w:hAnsi="宋体" w:eastAsia="宋体" w:cs="宋体"/>
          <w:sz w:val="28"/>
          <w:szCs w:val="28"/>
        </w:rPr>
      </w:pPr>
    </w:p>
    <w:p w14:paraId="491EC74D">
      <w:pPr>
        <w:widowControl/>
        <w:snapToGrid w:val="0"/>
        <w:spacing w:line="360" w:lineRule="auto"/>
        <w:textAlignment w:val="baseline"/>
        <w:rPr>
          <w:rFonts w:hint="eastAsia" w:ascii="宋体" w:hAnsi="宋体" w:eastAsia="宋体" w:cs="宋体"/>
          <w:sz w:val="28"/>
          <w:szCs w:val="28"/>
          <w:u w:val="single"/>
        </w:rPr>
      </w:pPr>
      <w:r>
        <w:rPr>
          <w:rFonts w:hint="eastAsia" w:ascii="宋体" w:hAnsi="宋体" w:eastAsia="宋体" w:cs="宋体"/>
          <w:sz w:val="28"/>
          <w:szCs w:val="28"/>
        </w:rPr>
        <w:t xml:space="preserve">          乙方：</w:t>
      </w:r>
      <w:r>
        <w:rPr>
          <w:rFonts w:hint="eastAsia" w:ascii="宋体" w:hAnsi="宋体" w:eastAsia="宋体" w:cs="宋体"/>
          <w:sz w:val="28"/>
          <w:szCs w:val="28"/>
          <w:u w:val="single" w:color="000000"/>
        </w:rPr>
        <w:t xml:space="preserve">                                  </w:t>
      </w:r>
    </w:p>
    <w:p w14:paraId="7BB4A1CC">
      <w:pPr>
        <w:widowControl/>
        <w:snapToGrid w:val="0"/>
        <w:spacing w:line="360" w:lineRule="auto"/>
        <w:textAlignment w:val="baseline"/>
        <w:rPr>
          <w:rFonts w:hint="eastAsia" w:ascii="宋体" w:hAnsi="宋体" w:eastAsia="宋体" w:cs="宋体"/>
          <w:sz w:val="28"/>
          <w:szCs w:val="28"/>
          <w:u w:val="single"/>
        </w:rPr>
      </w:pPr>
    </w:p>
    <w:p w14:paraId="6F01E685">
      <w:pPr>
        <w:widowControl/>
        <w:snapToGrid w:val="0"/>
        <w:jc w:val="center"/>
        <w:textAlignment w:val="baseline"/>
        <w:rPr>
          <w:rFonts w:hint="eastAsia" w:ascii="宋体" w:hAnsi="宋体" w:eastAsia="宋体" w:cs="宋体"/>
          <w:sz w:val="28"/>
          <w:szCs w:val="28"/>
          <w:u w:val="single"/>
        </w:rPr>
      </w:pPr>
    </w:p>
    <w:p w14:paraId="51F302BA">
      <w:pPr>
        <w:widowControl/>
        <w:snapToGrid w:val="0"/>
        <w:jc w:val="center"/>
        <w:textAlignment w:val="baseline"/>
        <w:rPr>
          <w:rFonts w:hint="eastAsia" w:ascii="宋体" w:hAnsi="宋体" w:eastAsia="宋体" w:cs="宋体"/>
          <w:sz w:val="28"/>
          <w:szCs w:val="28"/>
        </w:rPr>
      </w:pPr>
      <w:r>
        <w:rPr>
          <w:rFonts w:hint="eastAsia" w:ascii="宋体" w:hAnsi="宋体" w:eastAsia="宋体" w:cs="宋体"/>
          <w:sz w:val="28"/>
          <w:szCs w:val="28"/>
          <w:u w:val="single" w:color="000000"/>
        </w:rPr>
        <w:t xml:space="preserve">      </w:t>
      </w:r>
      <w:r>
        <w:rPr>
          <w:rFonts w:hint="eastAsia" w:ascii="宋体" w:hAnsi="宋体" w:eastAsia="宋体" w:cs="宋体"/>
          <w:sz w:val="28"/>
          <w:szCs w:val="28"/>
        </w:rPr>
        <w:t>年</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月</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日</w:t>
      </w:r>
    </w:p>
    <w:p w14:paraId="4FDACBE0">
      <w:pPr>
        <w:snapToGrid w:val="0"/>
        <w:spacing w:line="360" w:lineRule="auto"/>
        <w:jc w:val="center"/>
        <w:rPr>
          <w:rFonts w:hint="eastAsia" w:ascii="仿宋" w:hAnsi="仿宋" w:eastAsia="仿宋" w:cs="仿宋"/>
          <w:b/>
          <w:color w:val="000000"/>
          <w:sz w:val="48"/>
          <w:szCs w:val="48"/>
        </w:rPr>
      </w:pPr>
    </w:p>
    <w:p w14:paraId="5BA5FF0A">
      <w:pPr>
        <w:snapToGrid w:val="0"/>
        <w:spacing w:line="49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val="zh-CN"/>
        </w:rPr>
        <w:t>甲方：</w:t>
      </w:r>
      <w:r>
        <w:rPr>
          <w:rFonts w:hint="eastAsia" w:ascii="仿宋" w:hAnsi="仿宋" w:eastAsia="仿宋" w:cs="仿宋"/>
          <w:color w:val="000000"/>
          <w:sz w:val="20"/>
          <w:szCs w:val="20"/>
        </w:rPr>
        <w:t xml:space="preserve">          </w:t>
      </w:r>
    </w:p>
    <w:p w14:paraId="54303E05">
      <w:pPr>
        <w:snapToGrid w:val="0"/>
        <w:spacing w:line="490" w:lineRule="exact"/>
        <w:rPr>
          <w:rFonts w:hint="eastAsia" w:ascii="仿宋" w:hAnsi="仿宋" w:eastAsia="仿宋" w:cs="仿宋"/>
          <w:color w:val="000000"/>
          <w:sz w:val="20"/>
          <w:szCs w:val="20"/>
          <w:lang w:val="zh-CN"/>
        </w:rPr>
      </w:pP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 xml:space="preserve">法定代表人:      </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住所地：</w:t>
      </w:r>
      <w:r>
        <w:rPr>
          <w:rFonts w:hint="eastAsia" w:ascii="仿宋" w:hAnsi="仿宋" w:eastAsia="仿宋" w:cs="仿宋"/>
          <w:color w:val="000000"/>
          <w:sz w:val="20"/>
          <w:szCs w:val="20"/>
        </w:rPr>
        <w:t xml:space="preserve">             </w:t>
      </w:r>
    </w:p>
    <w:p w14:paraId="369CE2EE">
      <w:pPr>
        <w:snapToGrid w:val="0"/>
        <w:spacing w:line="490" w:lineRule="exact"/>
        <w:ind w:firstLine="400" w:firstLineChars="200"/>
        <w:rPr>
          <w:rFonts w:hint="eastAsia" w:ascii="仿宋" w:hAnsi="仿宋" w:eastAsia="仿宋" w:cs="仿宋"/>
          <w:color w:val="000000"/>
          <w:sz w:val="20"/>
          <w:szCs w:val="20"/>
          <w:lang w:val="zh-CN"/>
        </w:rPr>
      </w:pPr>
      <w:r>
        <w:rPr>
          <w:rFonts w:hint="eastAsia" w:ascii="仿宋" w:hAnsi="仿宋" w:eastAsia="仿宋" w:cs="仿宋"/>
          <w:color w:val="000000"/>
          <w:sz w:val="20"/>
          <w:szCs w:val="20"/>
          <w:lang w:val="zh-CN"/>
        </w:rPr>
        <w:t>乙方：</w:t>
      </w:r>
    </w:p>
    <w:p w14:paraId="7C308AD9">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法定代表人:</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lang w:val="zh-CN"/>
        </w:rPr>
        <w:t>住所地：</w:t>
      </w:r>
      <w:r>
        <w:rPr>
          <w:rFonts w:hint="eastAsia" w:ascii="仿宋" w:hAnsi="仿宋" w:eastAsia="仿宋" w:cs="仿宋"/>
          <w:color w:val="000000"/>
          <w:sz w:val="20"/>
          <w:szCs w:val="20"/>
        </w:rPr>
        <w:t xml:space="preserve">                                   </w:t>
      </w:r>
    </w:p>
    <w:p w14:paraId="4A7DC666">
      <w:pPr>
        <w:snapToGrid w:val="0"/>
        <w:spacing w:line="490" w:lineRule="exact"/>
        <w:ind w:firstLine="400"/>
        <w:rPr>
          <w:rFonts w:hint="eastAsia" w:ascii="仿宋" w:hAnsi="仿宋" w:eastAsia="仿宋" w:cs="仿宋"/>
          <w:color w:val="000000"/>
          <w:sz w:val="20"/>
          <w:szCs w:val="20"/>
        </w:rPr>
      </w:pPr>
      <w:r>
        <w:rPr>
          <w:rFonts w:hint="eastAsia" w:ascii="仿宋" w:hAnsi="仿宋" w:eastAsia="仿宋" w:cs="仿宋"/>
          <w:color w:val="000000"/>
          <w:sz w:val="20"/>
          <w:szCs w:val="20"/>
          <w:lang w:val="zh-CN"/>
        </w:rPr>
        <w:t>西安市高陵区农业技术推广中心</w:t>
      </w:r>
      <w:r>
        <w:rPr>
          <w:rFonts w:hint="eastAsia" w:ascii="仿宋" w:hAnsi="仿宋" w:eastAsia="仿宋" w:cs="仿宋"/>
          <w:color w:val="000000"/>
          <w:sz w:val="20"/>
          <w:szCs w:val="20"/>
          <w:u w:val="single"/>
          <w:lang w:val="zh-CN"/>
        </w:rPr>
        <w:t xml:space="preserve">                         </w:t>
      </w:r>
      <w:r>
        <w:rPr>
          <w:rFonts w:hint="eastAsia" w:ascii="仿宋" w:hAnsi="仿宋" w:eastAsia="仿宋" w:cs="仿宋"/>
          <w:color w:val="000000"/>
          <w:sz w:val="20"/>
          <w:szCs w:val="20"/>
          <w:lang w:val="zh-CN"/>
        </w:rPr>
        <w:t>采购项目</w:t>
      </w:r>
      <w:r>
        <w:rPr>
          <w:rFonts w:hint="eastAsia" w:ascii="仿宋" w:hAnsi="仿宋" w:eastAsia="仿宋" w:cs="仿宋"/>
          <w:color w:val="000000"/>
          <w:sz w:val="20"/>
          <w:szCs w:val="20"/>
        </w:rPr>
        <w:t>，由</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组织</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招标，选定</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公司为</w:t>
      </w:r>
      <w:r>
        <w:rPr>
          <w:rFonts w:hint="eastAsia" w:ascii="仿宋" w:hAnsi="仿宋" w:eastAsia="仿宋" w:cs="仿宋"/>
          <w:color w:val="000000"/>
          <w:sz w:val="20"/>
          <w:szCs w:val="20"/>
          <w:lang w:val="en-US" w:eastAsia="zh-CN"/>
        </w:rPr>
        <w:t>成交</w:t>
      </w:r>
      <w:r>
        <w:rPr>
          <w:rFonts w:hint="eastAsia" w:ascii="仿宋" w:hAnsi="仿宋" w:eastAsia="仿宋" w:cs="仿宋"/>
          <w:color w:val="000000"/>
          <w:sz w:val="20"/>
          <w:szCs w:val="20"/>
        </w:rPr>
        <w:t>单位。经</w:t>
      </w:r>
      <w:r>
        <w:rPr>
          <w:rFonts w:hint="eastAsia" w:ascii="仿宋" w:hAnsi="仿宋" w:eastAsia="仿宋" w:cs="仿宋"/>
          <w:color w:val="000000"/>
          <w:sz w:val="20"/>
          <w:szCs w:val="20"/>
          <w:lang w:val="zh-CN"/>
        </w:rPr>
        <w:t>西安市高陵区农业技术推广中心</w:t>
      </w:r>
      <w:r>
        <w:rPr>
          <w:rFonts w:hint="eastAsia" w:ascii="仿宋" w:hAnsi="仿宋" w:eastAsia="仿宋" w:cs="仿宋"/>
          <w:color w:val="000000"/>
          <w:sz w:val="20"/>
          <w:szCs w:val="20"/>
        </w:rPr>
        <w:t>（以下简称甲方）与</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公司（以下简称乙方）共同协商，达成如下合同条款。</w:t>
      </w:r>
    </w:p>
    <w:p w14:paraId="7B2A7F22">
      <w:pPr>
        <w:snapToGrid w:val="0"/>
        <w:spacing w:line="490" w:lineRule="exact"/>
        <w:ind w:firstLine="402" w:firstLineChars="200"/>
        <w:jc w:val="left"/>
        <w:rPr>
          <w:rFonts w:hint="eastAsia" w:ascii="仿宋" w:hAnsi="仿宋" w:eastAsia="仿宋" w:cs="仿宋"/>
          <w:color w:val="000000"/>
          <w:sz w:val="20"/>
          <w:szCs w:val="20"/>
        </w:rPr>
      </w:pPr>
      <w:r>
        <w:rPr>
          <w:rFonts w:hint="eastAsia" w:ascii="仿宋" w:hAnsi="仿宋" w:eastAsia="仿宋" w:cs="仿宋"/>
          <w:b/>
          <w:color w:val="000000"/>
          <w:sz w:val="20"/>
          <w:szCs w:val="20"/>
        </w:rPr>
        <w:t xml:space="preserve"> 第一条  合同内容（技术指标见附件）</w:t>
      </w:r>
    </w:p>
    <w:p w14:paraId="5E4F2655">
      <w:pPr>
        <w:snapToGrid w:val="0"/>
        <w:spacing w:line="49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（一）乙方负责按合同中确定的</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品牌、规格、型号、数量、原产地及配套内容进行供货；按时运到甲方指定的交货地点，达到正常使用；负责为甲方培训操作，做好售后服务。</w:t>
      </w:r>
    </w:p>
    <w:p w14:paraId="462CB645">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（二）</w:t>
      </w:r>
      <w:r>
        <w:rPr>
          <w:rFonts w:hint="eastAsia" w:ascii="仿宋" w:hAnsi="仿宋" w:eastAsia="仿宋" w:cs="仿宋"/>
          <w:color w:val="000000"/>
          <w:sz w:val="20"/>
          <w:szCs w:val="20"/>
          <w:lang w:val="en-US" w:eastAsia="zh-CN"/>
        </w:rPr>
        <w:t>磋商</w:t>
      </w:r>
      <w:r>
        <w:rPr>
          <w:rFonts w:hint="eastAsia" w:ascii="仿宋" w:hAnsi="仿宋" w:eastAsia="仿宋" w:cs="仿宋"/>
          <w:color w:val="000000"/>
          <w:sz w:val="20"/>
          <w:szCs w:val="20"/>
        </w:rPr>
        <w:t>文件、乙方的</w:t>
      </w:r>
      <w:r>
        <w:rPr>
          <w:rFonts w:hint="eastAsia" w:ascii="仿宋" w:hAnsi="仿宋" w:eastAsia="仿宋" w:cs="仿宋"/>
          <w:color w:val="000000"/>
          <w:sz w:val="20"/>
          <w:szCs w:val="20"/>
          <w:lang w:val="en-US" w:eastAsia="zh-CN"/>
        </w:rPr>
        <w:t>响应</w:t>
      </w:r>
      <w:r>
        <w:rPr>
          <w:rFonts w:hint="eastAsia" w:ascii="仿宋" w:hAnsi="仿宋" w:eastAsia="仿宋" w:cs="仿宋"/>
          <w:color w:val="000000"/>
          <w:sz w:val="20"/>
          <w:szCs w:val="20"/>
        </w:rPr>
        <w:t>文件及评标过程中的澄清、承诺内容均作为本合同的组成部分，具有同等法律效力。</w:t>
      </w:r>
    </w:p>
    <w:p w14:paraId="6EF40A01">
      <w:pPr>
        <w:snapToGrid w:val="0"/>
        <w:spacing w:line="490" w:lineRule="exact"/>
        <w:ind w:firstLine="402" w:firstLineChars="200"/>
        <w:rPr>
          <w:rFonts w:hint="eastAsia" w:ascii="仿宋" w:hAnsi="仿宋" w:eastAsia="仿宋" w:cs="仿宋"/>
          <w:color w:val="000000"/>
          <w:sz w:val="20"/>
          <w:szCs w:val="20"/>
        </w:rPr>
      </w:pPr>
      <w:r>
        <w:rPr>
          <w:rFonts w:hint="eastAsia" w:ascii="仿宋" w:hAnsi="仿宋" w:eastAsia="仿宋" w:cs="仿宋"/>
          <w:b/>
          <w:color w:val="000000"/>
          <w:sz w:val="20"/>
          <w:szCs w:val="20"/>
        </w:rPr>
        <w:t>第二条  合同价款</w:t>
      </w:r>
      <w:r>
        <w:rPr>
          <w:rFonts w:hint="eastAsia" w:ascii="仿宋" w:hAnsi="仿宋" w:eastAsia="仿宋" w:cs="仿宋"/>
          <w:color w:val="000000"/>
          <w:sz w:val="20"/>
          <w:szCs w:val="20"/>
        </w:rPr>
        <w:t>(币种：                 单位：万元)</w:t>
      </w:r>
    </w:p>
    <w:p w14:paraId="3CE04788">
      <w:pPr>
        <w:snapToGrid w:val="0"/>
        <w:spacing w:line="49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（一）</w:t>
      </w:r>
      <w:r>
        <w:rPr>
          <w:rFonts w:hint="eastAsia" w:ascii="仿宋" w:hAnsi="仿宋" w:eastAsia="仿宋" w:cs="仿宋"/>
          <w:color w:val="000000"/>
          <w:sz w:val="20"/>
          <w:szCs w:val="20"/>
          <w:lang w:eastAsia="zh-CN"/>
        </w:rPr>
        <w:t>成交</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品牌、规格、产地、数量、单价及合同总价：</w:t>
      </w:r>
    </w:p>
    <w:p w14:paraId="79591A76">
      <w:pPr>
        <w:snapToGrid w:val="0"/>
        <w:spacing w:line="500" w:lineRule="exact"/>
        <w:ind w:firstLine="500" w:firstLineChars="250"/>
        <w:rPr>
          <w:rFonts w:hint="eastAsia" w:ascii="仿宋" w:hAnsi="仿宋" w:eastAsia="仿宋" w:cs="仿宋"/>
          <w:color w:val="000000"/>
          <w:sz w:val="20"/>
          <w:szCs w:val="20"/>
        </w:rPr>
      </w:pPr>
      <w:r>
        <w:rPr>
          <w:rFonts w:hint="eastAsia" w:ascii="仿宋" w:hAnsi="仿宋" w:eastAsia="仿宋" w:cs="仿宋"/>
          <w:color w:val="000000"/>
          <w:sz w:val="20"/>
          <w:szCs w:val="20"/>
        </w:rPr>
        <w:t>（二）合同总价包括：包括但不限于人工费、设备费（主材及辅材）、保险、利润、规费、税金、货物运至最终目的地的运输费、专用工具使用费、伴随货物交运的有关费用等与之相关的一切直接费、间接费</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防治服务费及</w:t>
      </w:r>
      <w:r>
        <w:rPr>
          <w:rFonts w:hint="eastAsia" w:ascii="仿宋" w:hAnsi="仿宋" w:eastAsia="仿宋" w:cs="仿宋"/>
          <w:color w:val="000000"/>
          <w:sz w:val="20"/>
          <w:szCs w:val="20"/>
        </w:rPr>
        <w:t>其他相关费用。</w:t>
      </w:r>
    </w:p>
    <w:tbl>
      <w:tblPr>
        <w:tblStyle w:val="7"/>
        <w:tblpPr w:leftFromText="180" w:rightFromText="180" w:vertAnchor="text" w:horzAnchor="page" w:tblpX="1149" w:tblpY="395"/>
        <w:tblOverlap w:val="never"/>
        <w:tblW w:w="9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75"/>
        <w:gridCol w:w="1290"/>
        <w:gridCol w:w="870"/>
        <w:gridCol w:w="825"/>
        <w:gridCol w:w="1158"/>
        <w:gridCol w:w="1218"/>
        <w:gridCol w:w="1436"/>
      </w:tblGrid>
      <w:tr w14:paraId="33D2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93" w:type="dxa"/>
            <w:tcBorders>
              <w:top w:val="single" w:color="auto" w:sz="4" w:space="0"/>
              <w:left w:val="single" w:color="auto" w:sz="4" w:space="0"/>
              <w:bottom w:val="single" w:color="auto" w:sz="4" w:space="0"/>
              <w:right w:val="single" w:color="auto" w:sz="4" w:space="0"/>
            </w:tcBorders>
            <w:vAlign w:val="center"/>
          </w:tcPr>
          <w:p w14:paraId="5F840C9F">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名称</w:t>
            </w:r>
          </w:p>
        </w:tc>
        <w:tc>
          <w:tcPr>
            <w:tcW w:w="975" w:type="dxa"/>
            <w:tcBorders>
              <w:top w:val="single" w:color="auto" w:sz="4" w:space="0"/>
              <w:left w:val="single" w:color="auto" w:sz="4" w:space="0"/>
              <w:bottom w:val="single" w:color="auto" w:sz="4" w:space="0"/>
              <w:right w:val="single" w:color="auto" w:sz="4" w:space="0"/>
            </w:tcBorders>
            <w:vAlign w:val="center"/>
          </w:tcPr>
          <w:p w14:paraId="725D44C4">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品牌</w:t>
            </w:r>
          </w:p>
        </w:tc>
        <w:tc>
          <w:tcPr>
            <w:tcW w:w="1290" w:type="dxa"/>
            <w:tcBorders>
              <w:top w:val="single" w:color="auto" w:sz="4" w:space="0"/>
              <w:left w:val="single" w:color="auto" w:sz="4" w:space="0"/>
              <w:bottom w:val="single" w:color="auto" w:sz="4" w:space="0"/>
              <w:right w:val="single" w:color="auto" w:sz="4" w:space="0"/>
            </w:tcBorders>
            <w:vAlign w:val="center"/>
          </w:tcPr>
          <w:p w14:paraId="647FB96A">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规格型号</w:t>
            </w:r>
          </w:p>
        </w:tc>
        <w:tc>
          <w:tcPr>
            <w:tcW w:w="870" w:type="dxa"/>
            <w:tcBorders>
              <w:top w:val="single" w:color="auto" w:sz="4" w:space="0"/>
              <w:left w:val="single" w:color="auto" w:sz="4" w:space="0"/>
              <w:bottom w:val="single" w:color="auto" w:sz="4" w:space="0"/>
              <w:right w:val="single" w:color="auto" w:sz="4" w:space="0"/>
            </w:tcBorders>
            <w:vAlign w:val="center"/>
          </w:tcPr>
          <w:p w14:paraId="5349EB0A">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数量</w:t>
            </w:r>
          </w:p>
        </w:tc>
        <w:tc>
          <w:tcPr>
            <w:tcW w:w="825" w:type="dxa"/>
            <w:tcBorders>
              <w:top w:val="single" w:color="auto" w:sz="4" w:space="0"/>
              <w:left w:val="single" w:color="auto" w:sz="4" w:space="0"/>
              <w:bottom w:val="single" w:color="auto" w:sz="4" w:space="0"/>
              <w:right w:val="single" w:color="auto" w:sz="4" w:space="0"/>
            </w:tcBorders>
            <w:vAlign w:val="center"/>
          </w:tcPr>
          <w:p w14:paraId="00BC588B">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单位</w:t>
            </w:r>
          </w:p>
        </w:tc>
        <w:tc>
          <w:tcPr>
            <w:tcW w:w="1158" w:type="dxa"/>
            <w:tcBorders>
              <w:top w:val="single" w:color="auto" w:sz="4" w:space="0"/>
              <w:left w:val="single" w:color="auto" w:sz="4" w:space="0"/>
              <w:bottom w:val="single" w:color="auto" w:sz="4" w:space="0"/>
              <w:right w:val="single" w:color="auto" w:sz="4" w:space="0"/>
            </w:tcBorders>
            <w:vAlign w:val="center"/>
          </w:tcPr>
          <w:p w14:paraId="5508EE4F">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单价</w:t>
            </w:r>
          </w:p>
        </w:tc>
        <w:tc>
          <w:tcPr>
            <w:tcW w:w="1218" w:type="dxa"/>
            <w:tcBorders>
              <w:top w:val="single" w:color="auto" w:sz="4" w:space="0"/>
              <w:left w:val="single" w:color="auto" w:sz="4" w:space="0"/>
              <w:bottom w:val="single" w:color="auto" w:sz="4" w:space="0"/>
              <w:right w:val="single" w:color="auto" w:sz="4" w:space="0"/>
            </w:tcBorders>
            <w:vAlign w:val="center"/>
          </w:tcPr>
          <w:p w14:paraId="4780DA0B">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合计</w:t>
            </w:r>
          </w:p>
        </w:tc>
        <w:tc>
          <w:tcPr>
            <w:tcW w:w="1436" w:type="dxa"/>
            <w:tcBorders>
              <w:top w:val="single" w:color="auto" w:sz="4" w:space="0"/>
              <w:left w:val="single" w:color="auto" w:sz="4" w:space="0"/>
              <w:bottom w:val="single" w:color="auto" w:sz="4" w:space="0"/>
              <w:right w:val="single" w:color="auto" w:sz="4" w:space="0"/>
            </w:tcBorders>
            <w:vAlign w:val="center"/>
          </w:tcPr>
          <w:p w14:paraId="229BB158">
            <w:pPr>
              <w:snapToGrid w:val="0"/>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质保期</w:t>
            </w:r>
          </w:p>
        </w:tc>
      </w:tr>
      <w:tr w14:paraId="36C2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2093" w:type="dxa"/>
            <w:tcBorders>
              <w:top w:val="single" w:color="auto" w:sz="4" w:space="0"/>
              <w:left w:val="single" w:color="auto" w:sz="4" w:space="0"/>
              <w:bottom w:val="single" w:color="auto" w:sz="4" w:space="0"/>
              <w:right w:val="single" w:color="auto" w:sz="4" w:space="0"/>
            </w:tcBorders>
            <w:vAlign w:val="center"/>
          </w:tcPr>
          <w:p w14:paraId="01BF5131">
            <w:pPr>
              <w:snapToGrid w:val="0"/>
              <w:spacing w:line="400" w:lineRule="exact"/>
              <w:rPr>
                <w:rFonts w:hint="eastAsia" w:ascii="仿宋" w:hAnsi="仿宋" w:eastAsia="仿宋" w:cs="仿宋"/>
                <w:color w:val="000000"/>
                <w:sz w:val="20"/>
                <w:szCs w:val="20"/>
              </w:rPr>
            </w:pPr>
          </w:p>
          <w:p w14:paraId="09E3BCCB">
            <w:pPr>
              <w:snapToGrid w:val="0"/>
              <w:spacing w:line="400" w:lineRule="exact"/>
              <w:rPr>
                <w:rFonts w:hint="eastAsia" w:ascii="仿宋" w:hAnsi="仿宋" w:eastAsia="仿宋" w:cs="仿宋"/>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14:paraId="44CC62A3">
            <w:pPr>
              <w:snapToGrid w:val="0"/>
              <w:spacing w:line="400" w:lineRule="exact"/>
              <w:jc w:val="center"/>
              <w:rPr>
                <w:rFonts w:hint="eastAsia" w:ascii="仿宋" w:hAnsi="仿宋" w:eastAsia="仿宋" w:cs="仿宋"/>
                <w:color w:val="00000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14:paraId="3960E49E">
            <w:pPr>
              <w:snapToGrid w:val="0"/>
              <w:spacing w:line="400" w:lineRule="exact"/>
              <w:rPr>
                <w:rFonts w:hint="eastAsia" w:ascii="仿宋" w:hAnsi="仿宋" w:eastAsia="仿宋" w:cs="仿宋"/>
                <w:color w:val="000000"/>
                <w:sz w:val="20"/>
                <w:szCs w:val="20"/>
              </w:rPr>
            </w:pPr>
          </w:p>
        </w:tc>
        <w:tc>
          <w:tcPr>
            <w:tcW w:w="870" w:type="dxa"/>
            <w:tcBorders>
              <w:top w:val="single" w:color="auto" w:sz="4" w:space="0"/>
              <w:left w:val="single" w:color="auto" w:sz="4" w:space="0"/>
              <w:bottom w:val="single" w:color="auto" w:sz="4" w:space="0"/>
              <w:right w:val="single" w:color="auto" w:sz="4" w:space="0"/>
            </w:tcBorders>
            <w:vAlign w:val="center"/>
          </w:tcPr>
          <w:p w14:paraId="08AA826D">
            <w:pPr>
              <w:snapToGrid w:val="0"/>
              <w:spacing w:line="400" w:lineRule="exact"/>
              <w:jc w:val="center"/>
              <w:rPr>
                <w:rFonts w:hint="eastAsia" w:ascii="仿宋" w:hAnsi="仿宋" w:eastAsia="仿宋" w:cs="仿宋"/>
                <w:color w:val="000000"/>
                <w:sz w:val="20"/>
                <w:szCs w:val="20"/>
              </w:rPr>
            </w:pPr>
          </w:p>
        </w:tc>
        <w:tc>
          <w:tcPr>
            <w:tcW w:w="825" w:type="dxa"/>
            <w:tcBorders>
              <w:top w:val="single" w:color="auto" w:sz="4" w:space="0"/>
              <w:left w:val="single" w:color="auto" w:sz="4" w:space="0"/>
              <w:bottom w:val="single" w:color="auto" w:sz="4" w:space="0"/>
              <w:right w:val="single" w:color="auto" w:sz="4" w:space="0"/>
            </w:tcBorders>
            <w:vAlign w:val="center"/>
          </w:tcPr>
          <w:p w14:paraId="09CEF10D">
            <w:pPr>
              <w:snapToGrid w:val="0"/>
              <w:spacing w:line="400" w:lineRule="exact"/>
              <w:jc w:val="center"/>
              <w:rPr>
                <w:rFonts w:hint="eastAsia" w:ascii="仿宋" w:hAnsi="仿宋" w:eastAsia="仿宋" w:cs="仿宋"/>
                <w:color w:val="000000"/>
                <w:sz w:val="20"/>
                <w:szCs w:val="20"/>
              </w:rPr>
            </w:pPr>
          </w:p>
        </w:tc>
        <w:tc>
          <w:tcPr>
            <w:tcW w:w="1158" w:type="dxa"/>
            <w:tcBorders>
              <w:top w:val="single" w:color="auto" w:sz="4" w:space="0"/>
              <w:left w:val="single" w:color="auto" w:sz="4" w:space="0"/>
              <w:bottom w:val="single" w:color="auto" w:sz="4" w:space="0"/>
              <w:right w:val="single" w:color="auto" w:sz="4" w:space="0"/>
            </w:tcBorders>
            <w:vAlign w:val="center"/>
          </w:tcPr>
          <w:p w14:paraId="36346A0A">
            <w:pPr>
              <w:snapToGrid w:val="0"/>
              <w:spacing w:line="400" w:lineRule="exact"/>
              <w:jc w:val="center"/>
              <w:rPr>
                <w:rFonts w:hint="eastAsia" w:ascii="仿宋" w:hAnsi="仿宋" w:eastAsia="仿宋" w:cs="仿宋"/>
                <w:color w:val="000000"/>
                <w:sz w:val="20"/>
                <w:szCs w:val="20"/>
              </w:rPr>
            </w:pPr>
          </w:p>
        </w:tc>
        <w:tc>
          <w:tcPr>
            <w:tcW w:w="1218" w:type="dxa"/>
            <w:tcBorders>
              <w:top w:val="single" w:color="auto" w:sz="4" w:space="0"/>
              <w:left w:val="single" w:color="auto" w:sz="4" w:space="0"/>
              <w:bottom w:val="single" w:color="auto" w:sz="4" w:space="0"/>
              <w:right w:val="single" w:color="auto" w:sz="4" w:space="0"/>
            </w:tcBorders>
            <w:vAlign w:val="center"/>
          </w:tcPr>
          <w:p w14:paraId="1D83A26E">
            <w:pPr>
              <w:snapToGrid w:val="0"/>
              <w:spacing w:line="400" w:lineRule="exact"/>
              <w:jc w:val="center"/>
              <w:rPr>
                <w:rFonts w:hint="eastAsia" w:ascii="仿宋" w:hAnsi="仿宋" w:eastAsia="仿宋" w:cs="仿宋"/>
                <w:color w:val="000000"/>
                <w:sz w:val="20"/>
                <w:szCs w:val="20"/>
              </w:rPr>
            </w:pPr>
          </w:p>
        </w:tc>
        <w:tc>
          <w:tcPr>
            <w:tcW w:w="1436" w:type="dxa"/>
            <w:tcBorders>
              <w:top w:val="single" w:color="auto" w:sz="4" w:space="0"/>
              <w:left w:val="single" w:color="auto" w:sz="4" w:space="0"/>
              <w:bottom w:val="single" w:color="auto" w:sz="4" w:space="0"/>
              <w:right w:val="single" w:color="auto" w:sz="4" w:space="0"/>
            </w:tcBorders>
            <w:vAlign w:val="center"/>
          </w:tcPr>
          <w:p w14:paraId="10479BE8">
            <w:pPr>
              <w:snapToGrid w:val="0"/>
              <w:spacing w:line="400" w:lineRule="exact"/>
              <w:jc w:val="left"/>
              <w:rPr>
                <w:rFonts w:hint="eastAsia" w:ascii="仿宋" w:hAnsi="仿宋" w:eastAsia="仿宋" w:cs="仿宋"/>
                <w:color w:val="000000"/>
                <w:sz w:val="20"/>
                <w:szCs w:val="20"/>
              </w:rPr>
            </w:pPr>
          </w:p>
        </w:tc>
      </w:tr>
      <w:tr w14:paraId="6851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865" w:type="dxa"/>
            <w:gridSpan w:val="8"/>
            <w:tcBorders>
              <w:top w:val="single" w:color="auto" w:sz="4" w:space="0"/>
              <w:left w:val="single" w:color="auto" w:sz="4" w:space="0"/>
              <w:bottom w:val="single" w:color="auto" w:sz="4" w:space="0"/>
              <w:right w:val="single" w:color="auto" w:sz="4" w:space="0"/>
            </w:tcBorders>
            <w:vAlign w:val="center"/>
          </w:tcPr>
          <w:p w14:paraId="0FD6C1D8">
            <w:pPr>
              <w:snapToGrid w:val="0"/>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总计:(大写)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元整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w:t>
            </w:r>
            <w:r>
              <w:rPr>
                <w:rFonts w:hint="eastAsia" w:ascii="仿宋" w:hAnsi="仿宋" w:eastAsia="仿宋" w:cs="仿宋"/>
                <w:color w:val="000000"/>
                <w:kern w:val="0"/>
                <w:sz w:val="20"/>
                <w:szCs w:val="20"/>
              </w:rPr>
              <w:t>（含税）</w:t>
            </w:r>
          </w:p>
        </w:tc>
      </w:tr>
    </w:tbl>
    <w:p w14:paraId="75C7A74C">
      <w:pPr>
        <w:snapToGrid w:val="0"/>
        <w:spacing w:line="500" w:lineRule="exact"/>
        <w:ind w:firstLine="300" w:firstLineChars="150"/>
        <w:rPr>
          <w:rFonts w:hint="eastAsia" w:ascii="仿宋" w:hAnsi="仿宋" w:eastAsia="仿宋" w:cs="仿宋"/>
          <w:color w:val="000000"/>
          <w:sz w:val="20"/>
          <w:szCs w:val="20"/>
        </w:rPr>
      </w:pPr>
      <w:r>
        <w:rPr>
          <w:rFonts w:hint="eastAsia" w:ascii="仿宋" w:hAnsi="仿宋" w:eastAsia="仿宋" w:cs="仿宋"/>
          <w:color w:val="000000"/>
          <w:sz w:val="20"/>
          <w:szCs w:val="20"/>
        </w:rPr>
        <w:t>（三）合同设备总价一次性包死，不受市场价格变化因素的影响。</w:t>
      </w:r>
    </w:p>
    <w:p w14:paraId="60E09AA8">
      <w:pPr>
        <w:snapToGrid w:val="0"/>
        <w:spacing w:line="500" w:lineRule="exact"/>
        <w:ind w:left="446"/>
        <w:rPr>
          <w:rFonts w:hint="eastAsia" w:ascii="仿宋" w:hAnsi="仿宋" w:eastAsia="仿宋" w:cs="仿宋"/>
          <w:b/>
          <w:color w:val="000000"/>
          <w:sz w:val="20"/>
          <w:szCs w:val="20"/>
        </w:rPr>
      </w:pPr>
      <w:r>
        <w:rPr>
          <w:rFonts w:hint="eastAsia" w:ascii="仿宋" w:hAnsi="仿宋" w:eastAsia="仿宋" w:cs="仿宋"/>
          <w:b/>
          <w:color w:val="000000"/>
          <w:sz w:val="20"/>
          <w:szCs w:val="20"/>
        </w:rPr>
        <w:t>第三条  款项结算</w:t>
      </w:r>
    </w:p>
    <w:p w14:paraId="10D2D4EA">
      <w:pPr>
        <w:pStyle w:val="2"/>
        <w:spacing w:line="500" w:lineRule="exact"/>
        <w:ind w:right="1470"/>
        <w:rPr>
          <w:rFonts w:hint="eastAsia" w:ascii="仿宋" w:hAnsi="仿宋" w:eastAsia="仿宋" w:cs="仿宋"/>
          <w:color w:val="000000"/>
          <w:sz w:val="20"/>
          <w:szCs w:val="20"/>
        </w:rPr>
      </w:pPr>
      <w:r>
        <w:rPr>
          <w:rFonts w:hint="eastAsia" w:ascii="仿宋" w:hAnsi="仿宋" w:eastAsia="仿宋" w:cs="仿宋"/>
          <w:color w:val="000000"/>
          <w:sz w:val="20"/>
          <w:szCs w:val="20"/>
        </w:rPr>
        <w:t>（一）结算单位：</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6726BB1B">
      <w:pPr>
        <w:pStyle w:val="2"/>
        <w:spacing w:line="500" w:lineRule="exact"/>
        <w:ind w:right="1470"/>
        <w:rPr>
          <w:rFonts w:hint="eastAsia" w:ascii="仿宋" w:hAnsi="仿宋" w:eastAsia="仿宋" w:cs="仿宋"/>
          <w:color w:val="000000"/>
          <w:sz w:val="20"/>
          <w:szCs w:val="20"/>
          <w:highlight w:val="none"/>
        </w:rPr>
      </w:pPr>
      <w:r>
        <w:rPr>
          <w:rFonts w:hint="eastAsia" w:ascii="仿宋" w:hAnsi="仿宋" w:eastAsia="仿宋" w:cs="仿宋"/>
          <w:color w:val="000000"/>
          <w:sz w:val="20"/>
          <w:szCs w:val="20"/>
        </w:rPr>
        <w:t>（二）支付约</w:t>
      </w:r>
      <w:r>
        <w:rPr>
          <w:rFonts w:hint="eastAsia" w:ascii="仿宋" w:hAnsi="仿宋" w:eastAsia="仿宋" w:cs="仿宋"/>
          <w:color w:val="000000"/>
          <w:sz w:val="20"/>
          <w:szCs w:val="20"/>
          <w:highlight w:val="none"/>
        </w:rPr>
        <w:t>定：</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rPr>
        <w:t>。</w:t>
      </w:r>
    </w:p>
    <w:p w14:paraId="439013B6">
      <w:pPr>
        <w:tabs>
          <w:tab w:val="left" w:pos="840"/>
        </w:tabs>
        <w:kinsoku w:val="0"/>
        <w:snapToGrid w:val="0"/>
        <w:spacing w:line="500" w:lineRule="exac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（三）付款方式：</w:t>
      </w:r>
    </w:p>
    <w:p w14:paraId="78608D96">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eastAsia="zh-CN"/>
        </w:rPr>
        <w:t>（</w:t>
      </w:r>
      <w:r>
        <w:rPr>
          <w:rFonts w:hint="eastAsia" w:ascii="仿宋" w:hAnsi="仿宋" w:eastAsia="仿宋" w:cs="仿宋"/>
          <w:color w:val="000000"/>
          <w:sz w:val="20"/>
          <w:szCs w:val="20"/>
          <w:highlight w:val="none"/>
          <w:lang w:val="en-US" w:eastAsia="zh-CN"/>
        </w:rPr>
        <w:t>1</w:t>
      </w:r>
      <w:r>
        <w:rPr>
          <w:rFonts w:hint="eastAsia" w:ascii="仿宋" w:hAnsi="仿宋" w:eastAsia="仿宋" w:cs="仿宋"/>
          <w:color w:val="000000"/>
          <w:sz w:val="20"/>
          <w:szCs w:val="20"/>
          <w:highlight w:val="none"/>
          <w:lang w:eastAsia="zh-CN"/>
        </w:rPr>
        <w:t>）</w:t>
      </w:r>
      <w:r>
        <w:rPr>
          <w:rFonts w:hint="eastAsia" w:ascii="仿宋" w:hAnsi="仿宋" w:eastAsia="仿宋" w:cs="仿宋"/>
          <w:color w:val="000000"/>
          <w:sz w:val="20"/>
          <w:szCs w:val="20"/>
          <w:highlight w:val="none"/>
        </w:rPr>
        <w:t xml:space="preserve">合同签订，货物全部交付且验收合格，甲方收到乙方出具正式发票后 ，达到付款条件起 30 日内，支付合同总金额的 </w:t>
      </w:r>
      <w:r>
        <w:rPr>
          <w:rFonts w:hint="eastAsia" w:ascii="仿宋" w:hAnsi="仿宋" w:eastAsia="仿宋" w:cs="仿宋"/>
          <w:color w:val="000000"/>
          <w:sz w:val="20"/>
          <w:szCs w:val="20"/>
          <w:highlight w:val="none"/>
          <w:lang w:val="en-US" w:eastAsia="zh-CN"/>
        </w:rPr>
        <w:t>100</w:t>
      </w:r>
      <w:r>
        <w:rPr>
          <w:rFonts w:hint="eastAsia" w:ascii="仿宋" w:hAnsi="仿宋" w:eastAsia="仿宋" w:cs="仿宋"/>
          <w:color w:val="000000"/>
          <w:sz w:val="20"/>
          <w:szCs w:val="20"/>
          <w:highlight w:val="none"/>
        </w:rPr>
        <w:t>.00%。</w:t>
      </w:r>
    </w:p>
    <w:p w14:paraId="444B48BC">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u w:val="single"/>
        </w:rPr>
      </w:pPr>
      <w:r>
        <w:rPr>
          <w:rFonts w:hint="eastAsia" w:ascii="仿宋" w:hAnsi="仿宋" w:eastAsia="仿宋" w:cs="仿宋"/>
          <w:color w:val="000000"/>
          <w:sz w:val="20"/>
          <w:szCs w:val="20"/>
          <w:highlight w:val="none"/>
        </w:rPr>
        <w:t>乙方账户信息：</w:t>
      </w:r>
      <w:r>
        <w:rPr>
          <w:rFonts w:hint="eastAsia" w:ascii="仿宋" w:hAnsi="仿宋" w:eastAsia="仿宋" w:cs="仿宋"/>
          <w:color w:val="000000"/>
          <w:sz w:val="20"/>
          <w:szCs w:val="20"/>
          <w:highlight w:val="none"/>
          <w:u w:val="single"/>
        </w:rPr>
        <w:t xml:space="preserve">                                              </w:t>
      </w:r>
    </w:p>
    <w:p w14:paraId="459C3BF7">
      <w:pPr>
        <w:tabs>
          <w:tab w:val="left" w:pos="840"/>
        </w:tabs>
        <w:kinsoku w:val="0"/>
        <w:snapToGrid w:val="0"/>
        <w:spacing w:line="500" w:lineRule="exact"/>
        <w:ind w:firstLine="300" w:firstLineChars="15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如需更改账户或现金支付时，必须向甲方出具乙方公司授权的证明。 </w:t>
      </w:r>
    </w:p>
    <w:p w14:paraId="51BF5512">
      <w:pPr>
        <w:snapToGrid w:val="0"/>
        <w:spacing w:line="500" w:lineRule="exact"/>
        <w:ind w:firstLine="402" w:firstLineChars="200"/>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第四条  双方的权利和义务</w:t>
      </w:r>
    </w:p>
    <w:p w14:paraId="3B3DA879">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（一）甲方责任</w:t>
      </w:r>
    </w:p>
    <w:p w14:paraId="50D58154">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负责核准、认定本项目相关技术资料文档；监督、参与项目执行的整个过程；为乙方提供必要的工作条件，按照合同约定支付各阶段合同款项。</w:t>
      </w:r>
    </w:p>
    <w:p w14:paraId="46F83E13">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（二）乙方责任</w:t>
      </w:r>
    </w:p>
    <w:p w14:paraId="3F50DA92">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按时完成</w:t>
      </w:r>
      <w:r>
        <w:rPr>
          <w:rFonts w:hint="eastAsia" w:ascii="仿宋" w:hAnsi="仿宋" w:eastAsia="仿宋" w:cs="仿宋"/>
          <w:color w:val="000000"/>
          <w:sz w:val="20"/>
          <w:szCs w:val="20"/>
          <w:highlight w:val="none"/>
          <w:lang w:val="en-US" w:eastAsia="zh-CN"/>
        </w:rPr>
        <w:t>货物</w:t>
      </w:r>
      <w:r>
        <w:rPr>
          <w:rFonts w:hint="eastAsia" w:ascii="仿宋" w:hAnsi="仿宋" w:eastAsia="仿宋" w:cs="仿宋"/>
          <w:color w:val="000000"/>
          <w:sz w:val="20"/>
          <w:szCs w:val="20"/>
          <w:highlight w:val="none"/>
        </w:rPr>
        <w:t>的交接；按时完成本合同所涉及</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highlight w:val="none"/>
        </w:rPr>
        <w:t>的验收工作；协助配合甲方做好整个项目的售后服务及技术支持工作。</w:t>
      </w:r>
    </w:p>
    <w:p w14:paraId="4187ACD9">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第五条  交货条件</w:t>
      </w:r>
    </w:p>
    <w:p w14:paraId="0B7361D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（一）交货地点:</w:t>
      </w:r>
      <w:r>
        <w:rPr>
          <w:rFonts w:hint="eastAsia" w:ascii="仿宋" w:hAnsi="仿宋" w:eastAsia="仿宋" w:cs="仿宋"/>
          <w:color w:val="000000"/>
          <w:sz w:val="20"/>
          <w:szCs w:val="20"/>
          <w:lang w:val="en-US" w:eastAsia="zh-CN"/>
        </w:rPr>
        <w:t>甲方指定地点</w:t>
      </w:r>
      <w:r>
        <w:rPr>
          <w:rFonts w:hint="eastAsia" w:ascii="仿宋" w:hAnsi="仿宋" w:eastAsia="仿宋" w:cs="仿宋"/>
          <w:color w:val="000000"/>
          <w:sz w:val="20"/>
          <w:szCs w:val="20"/>
        </w:rPr>
        <w:t>。</w:t>
      </w:r>
    </w:p>
    <w:p w14:paraId="3A43935C">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乙方应随同货物提供相应的中文技术文件（包括</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合格证明、装箱清单、操作手册、使用说明、服务指南等资料），保障服务。</w:t>
      </w:r>
    </w:p>
    <w:p w14:paraId="122A7E7B">
      <w:pPr>
        <w:snapToGrid w:val="0"/>
        <w:spacing w:line="5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（二）交货期：自合同签订后接采购人通知，30日内将全部货物交付至甲方指定地点。防治服务在接到通知后在指定地点3日内完成飞防服务任务。</w:t>
      </w:r>
    </w:p>
    <w:p w14:paraId="00204747">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第六条  运输</w:t>
      </w:r>
    </w:p>
    <w:p w14:paraId="12FD4031">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（一）运输由乙方负责，运杂费已包含在合同总价内，包括但不限于</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运输所含的运输费、装卸费、仓储费、保险费等；</w:t>
      </w:r>
    </w:p>
    <w:p w14:paraId="19A590B2">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（二）乙方保证</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安全、按期运输到达甲方指定交货地点，在交付甲方前发生的不可预见的风险均由乙方承担。</w:t>
      </w:r>
    </w:p>
    <w:p w14:paraId="29F46601">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第七条  乙方质量保证</w:t>
      </w:r>
    </w:p>
    <w:p w14:paraId="2A0B51A9">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乙方所供</w:t>
      </w:r>
      <w:r>
        <w:rPr>
          <w:rFonts w:hint="eastAsia" w:ascii="仿宋" w:hAnsi="仿宋" w:eastAsia="仿宋" w:cs="仿宋"/>
          <w:color w:val="000000"/>
          <w:sz w:val="20"/>
          <w:szCs w:val="20"/>
          <w:lang w:val="en-US" w:eastAsia="zh-CN"/>
        </w:rPr>
        <w:t>货物</w:t>
      </w:r>
      <w:r>
        <w:rPr>
          <w:rFonts w:hint="eastAsia" w:ascii="仿宋" w:hAnsi="仿宋" w:eastAsia="仿宋" w:cs="仿宋"/>
          <w:color w:val="000000"/>
          <w:sz w:val="20"/>
          <w:szCs w:val="20"/>
        </w:rPr>
        <w:t>必须执行下列条款：</w:t>
      </w:r>
    </w:p>
    <w:p w14:paraId="064F86C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（一）选用的</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保证技术指标符合要求、质量性能可靠、进货渠道正常，配置合理，全面满足招标文件要求。</w:t>
      </w:r>
    </w:p>
    <w:p w14:paraId="39A68C62">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符合国家有关规范要求。</w:t>
      </w:r>
    </w:p>
    <w:p w14:paraId="2D1362B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（三）各种</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具有良好的外观。</w:t>
      </w:r>
    </w:p>
    <w:p w14:paraId="48EFDF93">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四</w:t>
      </w:r>
      <w:r>
        <w:rPr>
          <w:rFonts w:hint="eastAsia" w:ascii="仿宋" w:hAnsi="仿宋" w:eastAsia="仿宋" w:cs="仿宋"/>
          <w:color w:val="000000"/>
          <w:sz w:val="20"/>
          <w:szCs w:val="20"/>
        </w:rPr>
        <w:t>）质保期内，免费</w:t>
      </w:r>
      <w:r>
        <w:rPr>
          <w:rFonts w:hint="eastAsia" w:ascii="仿宋" w:hAnsi="仿宋" w:eastAsia="仿宋" w:cs="仿宋"/>
          <w:color w:val="000000"/>
          <w:sz w:val="20"/>
          <w:szCs w:val="20"/>
          <w:lang w:val="en-US" w:eastAsia="zh-CN"/>
        </w:rPr>
        <w:t>做好售后服务</w:t>
      </w:r>
      <w:r>
        <w:rPr>
          <w:rFonts w:hint="eastAsia" w:ascii="仿宋" w:hAnsi="仿宋" w:eastAsia="仿宋" w:cs="仿宋"/>
          <w:color w:val="000000"/>
          <w:sz w:val="20"/>
          <w:szCs w:val="20"/>
        </w:rPr>
        <w:t>。</w:t>
      </w:r>
    </w:p>
    <w:p w14:paraId="33235AB1">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第八条  乙方免费提供技术与服务</w:t>
      </w:r>
    </w:p>
    <w:p w14:paraId="6B56490D">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（一）乙方交货时需同时交付的技术资料：</w:t>
      </w:r>
    </w:p>
    <w:p w14:paraId="5662411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合格证明；</w:t>
      </w:r>
    </w:p>
    <w:p w14:paraId="5349F236">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使用说明书；</w:t>
      </w:r>
    </w:p>
    <w:p w14:paraId="635980EB">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3、装箱单；</w:t>
      </w:r>
    </w:p>
    <w:p w14:paraId="0446E8F4">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4、其它资料。</w:t>
      </w:r>
    </w:p>
    <w:p w14:paraId="36F00777">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二</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响应时间：</w:t>
      </w:r>
    </w:p>
    <w:p w14:paraId="34B560B7">
      <w:pPr>
        <w:snapToGrid w:val="0"/>
        <w:spacing w:line="500" w:lineRule="exact"/>
        <w:ind w:left="1" w:firstLine="470" w:firstLineChars="235"/>
        <w:jc w:val="left"/>
        <w:rPr>
          <w:rFonts w:hint="eastAsia" w:ascii="仿宋" w:hAnsi="仿宋" w:eastAsia="仿宋" w:cs="仿宋"/>
          <w:color w:val="000000"/>
          <w:sz w:val="20"/>
          <w:szCs w:val="20"/>
        </w:rPr>
      </w:pPr>
      <w:r>
        <w:rPr>
          <w:rFonts w:hint="eastAsia" w:ascii="仿宋" w:hAnsi="仿宋" w:eastAsia="仿宋" w:cs="仿宋"/>
          <w:color w:val="000000"/>
          <w:sz w:val="20"/>
          <w:szCs w:val="20"/>
        </w:rPr>
        <w:t>接到甲方质量垂询电话，保证</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小时内给予做出电话回应，并提出解决方案；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小时之内到达现场，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小时内保证甲方尽快恢复使用。为不影响甲方正常工作，乙方在</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日内免费提供替代产品，确保正常运行。</w:t>
      </w:r>
    </w:p>
    <w:p w14:paraId="2D289901">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乙方售后服务具体负责人：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联系电话：</w:t>
      </w:r>
      <w:r>
        <w:rPr>
          <w:rFonts w:hint="eastAsia" w:ascii="仿宋" w:hAnsi="仿宋" w:eastAsia="仿宋" w:cs="仿宋"/>
          <w:color w:val="000000"/>
          <w:sz w:val="20"/>
          <w:szCs w:val="20"/>
          <w:u w:val="single"/>
        </w:rPr>
        <w:t xml:space="preserve">              </w:t>
      </w:r>
    </w:p>
    <w:p w14:paraId="6D7F442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5、乙方在装卸货物及服务过程发生的己方工作人员、雇员人身损害及造成的安全事故、均由乙方承担，与甲方无关。</w:t>
      </w:r>
    </w:p>
    <w:p w14:paraId="063494B5">
      <w:pPr>
        <w:snapToGrid w:val="0"/>
        <w:spacing w:line="500" w:lineRule="exact"/>
        <w:rPr>
          <w:rFonts w:hint="eastAsia" w:ascii="仿宋" w:hAnsi="仿宋" w:eastAsia="仿宋" w:cs="仿宋"/>
          <w:b/>
          <w:bCs/>
          <w:color w:val="000000"/>
          <w:sz w:val="20"/>
          <w:szCs w:val="20"/>
        </w:rPr>
      </w:pPr>
      <w:r>
        <w:rPr>
          <w:rFonts w:hint="eastAsia" w:ascii="仿宋" w:hAnsi="仿宋" w:eastAsia="仿宋" w:cs="仿宋"/>
          <w:b/>
          <w:color w:val="000000"/>
          <w:sz w:val="20"/>
          <w:szCs w:val="20"/>
        </w:rPr>
        <w:t>注：</w:t>
      </w:r>
    </w:p>
    <w:p w14:paraId="5052A3F2">
      <w:pPr>
        <w:snapToGrid w:val="0"/>
        <w:spacing w:line="500" w:lineRule="exact"/>
        <w:ind w:firstLine="394" w:firstLineChars="196"/>
        <w:rPr>
          <w:rFonts w:hint="eastAsia" w:ascii="仿宋" w:hAnsi="仿宋" w:eastAsia="仿宋" w:cs="仿宋"/>
          <w:b/>
          <w:color w:val="000000"/>
          <w:sz w:val="20"/>
          <w:szCs w:val="20"/>
        </w:rPr>
      </w:pPr>
      <w:r>
        <w:rPr>
          <w:rFonts w:hint="eastAsia" w:ascii="仿宋" w:hAnsi="仿宋" w:eastAsia="仿宋" w:cs="仿宋"/>
          <w:b/>
          <w:color w:val="000000"/>
          <w:sz w:val="20"/>
          <w:szCs w:val="20"/>
        </w:rPr>
        <w:t>第九条  其他服务约定</w:t>
      </w:r>
    </w:p>
    <w:p w14:paraId="54CD1113">
      <w:pPr>
        <w:snapToGrid w:val="0"/>
        <w:spacing w:line="500" w:lineRule="exact"/>
        <w:ind w:firstLine="400" w:firstLineChars="200"/>
        <w:rPr>
          <w:rFonts w:hint="eastAsia" w:ascii="仿宋" w:hAnsi="仿宋" w:eastAsia="仿宋" w:cs="仿宋"/>
          <w:color w:val="000000"/>
          <w:sz w:val="20"/>
          <w:szCs w:val="20"/>
          <w:highlight w:val="none"/>
          <w:u w:val="single"/>
          <w:lang w:eastAsia="zh-CN"/>
        </w:rPr>
      </w:pPr>
      <w:r>
        <w:rPr>
          <w:rFonts w:hint="eastAsia" w:ascii="仿宋" w:hAnsi="仿宋" w:eastAsia="仿宋" w:cs="仿宋"/>
          <w:color w:val="000000"/>
          <w:sz w:val="20"/>
          <w:szCs w:val="20"/>
        </w:rPr>
        <w:t>本合同免费</w:t>
      </w:r>
      <w:r>
        <w:rPr>
          <w:rFonts w:hint="eastAsia" w:ascii="仿宋" w:hAnsi="仿宋" w:eastAsia="仿宋" w:cs="仿宋"/>
          <w:color w:val="000000"/>
          <w:sz w:val="20"/>
          <w:szCs w:val="20"/>
          <w:lang w:val="en-US" w:eastAsia="zh-CN"/>
        </w:rPr>
        <w:t>质保期</w:t>
      </w:r>
      <w:r>
        <w:rPr>
          <w:rFonts w:hint="eastAsia" w:ascii="仿宋" w:hAnsi="仿宋" w:eastAsia="仿宋" w:cs="仿宋"/>
          <w:color w:val="000000"/>
          <w:sz w:val="20"/>
          <w:szCs w:val="20"/>
        </w:rPr>
        <w:t>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年，自甲方验收合格并书面确认之日起计算，其后为有偿服务，服务内容及收</w:t>
      </w:r>
      <w:r>
        <w:rPr>
          <w:rFonts w:hint="eastAsia" w:ascii="仿宋" w:hAnsi="仿宋" w:eastAsia="仿宋" w:cs="仿宋"/>
          <w:color w:val="000000"/>
          <w:sz w:val="20"/>
          <w:szCs w:val="20"/>
          <w:highlight w:val="none"/>
        </w:rPr>
        <w:t>费标准为：</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u w:val="single"/>
          <w:lang w:eastAsia="zh-CN"/>
        </w:rPr>
        <w:t>。</w:t>
      </w:r>
    </w:p>
    <w:p w14:paraId="59853B16">
      <w:pPr>
        <w:snapToGrid w:val="0"/>
        <w:spacing w:line="500" w:lineRule="exact"/>
        <w:ind w:firstLine="402" w:firstLineChars="200"/>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t>第十条  违约责任</w:t>
      </w:r>
    </w:p>
    <w:p w14:paraId="055622AE">
      <w:pPr>
        <w:snapToGrid w:val="0"/>
        <w:spacing w:line="500" w:lineRule="exact"/>
        <w:ind w:firstLine="48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（一）按《民法典》中的相关条款执行。</w:t>
      </w:r>
    </w:p>
    <w:p w14:paraId="4C70F9E4">
      <w:pPr>
        <w:snapToGrid w:val="0"/>
        <w:spacing w:line="500" w:lineRule="exact"/>
        <w:ind w:firstLine="48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（二）甲方责任</w:t>
      </w:r>
    </w:p>
    <w:p w14:paraId="2BFB6979">
      <w:pPr>
        <w:snapToGrid w:val="0"/>
        <w:spacing w:line="500" w:lineRule="exact"/>
        <w:ind w:firstLine="404" w:firstLineChars="202"/>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1</w:t>
      </w:r>
      <w:r>
        <w:rPr>
          <w:rFonts w:hint="eastAsia" w:ascii="仿宋" w:hAnsi="仿宋" w:eastAsia="仿宋" w:cs="仿宋"/>
          <w:color w:val="000000"/>
          <w:sz w:val="20"/>
          <w:szCs w:val="20"/>
          <w:highlight w:val="none"/>
        </w:rPr>
        <w:t>、乙方供应的产品经过两次验收，达不到合格的，甲方有权解除本合同，且乙方应当一次性支付甲方违约金</w:t>
      </w:r>
      <w:r>
        <w:rPr>
          <w:rFonts w:hint="eastAsia" w:ascii="仿宋" w:hAnsi="仿宋" w:eastAsia="仿宋" w:cs="仿宋"/>
          <w:color w:val="000000"/>
          <w:sz w:val="20"/>
          <w:szCs w:val="20"/>
          <w:highlight w:val="none"/>
          <w:u w:val="single"/>
        </w:rPr>
        <w:t xml:space="preserve">       </w:t>
      </w:r>
      <w:r>
        <w:rPr>
          <w:rFonts w:hint="eastAsia" w:ascii="仿宋" w:hAnsi="仿宋" w:eastAsia="仿宋" w:cs="仿宋"/>
          <w:color w:val="000000"/>
          <w:sz w:val="20"/>
          <w:szCs w:val="20"/>
          <w:highlight w:val="none"/>
        </w:rPr>
        <w:t>元。</w:t>
      </w:r>
    </w:p>
    <w:p w14:paraId="7E78CDE0">
      <w:pPr>
        <w:snapToGrid w:val="0"/>
        <w:spacing w:line="500" w:lineRule="exact"/>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（三）乙方责任</w:t>
      </w:r>
    </w:p>
    <w:p w14:paraId="471450FD">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highlight w:val="none"/>
        </w:rPr>
        <w:t>1、乙方未能按期履行合同或乙方未按合同</w:t>
      </w:r>
      <w:r>
        <w:rPr>
          <w:rFonts w:hint="eastAsia" w:ascii="仿宋" w:hAnsi="仿宋" w:eastAsia="仿宋" w:cs="仿宋"/>
          <w:color w:val="000000"/>
          <w:sz w:val="20"/>
          <w:szCs w:val="20"/>
        </w:rPr>
        <w:t>要求提供</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或</w:t>
      </w:r>
      <w:r>
        <w:rPr>
          <w:rFonts w:hint="eastAsia" w:ascii="仿宋" w:hAnsi="仿宋" w:eastAsia="仿宋" w:cs="仿宋"/>
          <w:color w:val="000000"/>
          <w:sz w:val="20"/>
          <w:szCs w:val="20"/>
          <w:lang w:val="en-US" w:eastAsia="zh-CN"/>
        </w:rPr>
        <w:t>产品</w:t>
      </w:r>
      <w:r>
        <w:rPr>
          <w:rFonts w:hint="eastAsia" w:ascii="仿宋" w:hAnsi="仿宋" w:eastAsia="仿宋" w:cs="仿宋"/>
          <w:color w:val="000000"/>
          <w:sz w:val="20"/>
          <w:szCs w:val="20"/>
        </w:rPr>
        <w:t>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72264BD9">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2、乙方迟延交货，每超过一天，应按合同总价款的</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rPr>
        <w:t>支付甲方违约金，该违约金直接在货款中扣减。除不可抗力导致的迟延交货外，乙方迟延交货</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天，甲方有权单方解除本合同，乙方应当一次性支付甲方违约金</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元。</w:t>
      </w:r>
    </w:p>
    <w:p w14:paraId="4CD581AA">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3、乙方对甲方解除合同不予认可的，应在收到甲方书面解除通知之日起7日内依法提出异议。</w:t>
      </w:r>
    </w:p>
    <w:p w14:paraId="2CB487F9">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第十一条  不可抗力</w:t>
      </w:r>
    </w:p>
    <w:p w14:paraId="37F3AADD">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（一）本合同中不可抗力指地震、台风、火灾、水灾、战争、罢工以及其他双方不能预见、不能避免并不能克服的客观情况。</w:t>
      </w:r>
    </w:p>
    <w:p w14:paraId="272EAE5C">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（二）由于不可抗力致使合同无法履行的，受不可抗力影响一方应立即将不能履行本合同的事实书面通知对方，并在不可抗力发生之日起十五日内提供有关相关政府部门或公证机关出具的证明文件。</w:t>
      </w:r>
    </w:p>
    <w:p w14:paraId="4EE5298F">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三）本合同在不可抗力影响范围及其持续期间内将中止履行，本合同执行时间可根据中止的时间相应顺延，双方无须承担违约责任。不可抗力事件消除后，双方应就合同的履行及后续问题进行协商。如果不可抗力原因造成本合同中止履行超过60天，任何一方均有权解除合同。</w:t>
      </w:r>
    </w:p>
    <w:p w14:paraId="7F25CEEF">
      <w:pPr>
        <w:snapToGrid w:val="0"/>
        <w:spacing w:line="500" w:lineRule="exact"/>
        <w:ind w:firstLine="400" w:firstLineChars="200"/>
        <w:rPr>
          <w:rFonts w:hint="eastAsia" w:ascii="仿宋" w:hAnsi="仿宋" w:eastAsia="仿宋" w:cs="仿宋"/>
          <w:bCs/>
          <w:color w:val="000000"/>
          <w:sz w:val="20"/>
          <w:szCs w:val="20"/>
        </w:rPr>
      </w:pPr>
      <w:r>
        <w:rPr>
          <w:rFonts w:hint="eastAsia" w:ascii="仿宋" w:hAnsi="仿宋" w:eastAsia="仿宋" w:cs="仿宋"/>
          <w:bCs/>
          <w:color w:val="000000"/>
          <w:sz w:val="20"/>
          <w:szCs w:val="20"/>
        </w:rPr>
        <w:t>（四）一方迟延履行后发生不可抗力的，不能免除责任。</w:t>
      </w:r>
    </w:p>
    <w:p w14:paraId="7E5DAEE5">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第十二条  验收</w:t>
      </w:r>
    </w:p>
    <w:p w14:paraId="31F0979A">
      <w:pPr>
        <w:snapToGrid w:val="0"/>
        <w:spacing w:line="500" w:lineRule="exact"/>
        <w:ind w:firstLine="480"/>
        <w:rPr>
          <w:rFonts w:hint="eastAsia" w:ascii="仿宋" w:hAnsi="仿宋" w:eastAsia="仿宋" w:cs="仿宋"/>
          <w:color w:val="000000"/>
          <w:sz w:val="20"/>
          <w:szCs w:val="20"/>
        </w:rPr>
      </w:pPr>
      <w:r>
        <w:rPr>
          <w:rFonts w:hint="eastAsia" w:ascii="仿宋" w:hAnsi="仿宋" w:eastAsia="仿宋" w:cs="仿宋"/>
          <w:color w:val="000000"/>
          <w:sz w:val="20"/>
          <w:szCs w:val="20"/>
        </w:rPr>
        <w:t>（一）初步验收</w:t>
      </w:r>
    </w:p>
    <w:p w14:paraId="5FD6E2EB">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bCs/>
          <w:color w:val="000000"/>
          <w:sz w:val="20"/>
          <w:szCs w:val="20"/>
        </w:rPr>
        <w:t>甲方应在产品到货且接到乙方书面通知后当日内进行初步验收；甲方在验收中如发现产品品种、型号、数量</w:t>
      </w:r>
      <w:r>
        <w:rPr>
          <w:rFonts w:hint="eastAsia" w:ascii="仿宋" w:hAnsi="仿宋" w:eastAsia="仿宋" w:cs="仿宋"/>
          <w:bCs/>
          <w:color w:val="000000"/>
          <w:sz w:val="20"/>
          <w:szCs w:val="20"/>
          <w:lang w:eastAsia="zh-CN"/>
        </w:rPr>
        <w:t>、材质、结构、功能、安全性及外观等多方面</w:t>
      </w:r>
      <w:r>
        <w:rPr>
          <w:rFonts w:hint="eastAsia" w:ascii="仿宋" w:hAnsi="仿宋" w:eastAsia="仿宋" w:cs="仿宋"/>
          <w:bCs/>
          <w:color w:val="000000"/>
          <w:sz w:val="20"/>
          <w:szCs w:val="20"/>
        </w:rPr>
        <w:t>与本合同规定条件不符，须在产品到货初步验收完成之日起</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日内向乙方提出书面异议和处理意见。</w:t>
      </w:r>
    </w:p>
    <w:p w14:paraId="6927F9A7">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1、如甲方未按</w:t>
      </w:r>
      <w:r>
        <w:rPr>
          <w:rFonts w:hint="eastAsia" w:ascii="仿宋" w:hAnsi="仿宋" w:eastAsia="仿宋" w:cs="仿宋"/>
          <w:bCs/>
          <w:color w:val="000000"/>
          <w:sz w:val="20"/>
          <w:szCs w:val="20"/>
        </w:rPr>
        <w:t>约定</w:t>
      </w:r>
      <w:r>
        <w:rPr>
          <w:rFonts w:hint="eastAsia" w:ascii="仿宋" w:hAnsi="仿宋" w:eastAsia="仿宋" w:cs="仿宋"/>
          <w:color w:val="000000"/>
          <w:sz w:val="20"/>
          <w:szCs w:val="20"/>
        </w:rPr>
        <w:t>期限提出书面异议，视为所交产品符合合同</w:t>
      </w:r>
      <w:r>
        <w:rPr>
          <w:rFonts w:hint="eastAsia" w:ascii="仿宋" w:hAnsi="仿宋" w:eastAsia="仿宋" w:cs="仿宋"/>
          <w:bCs/>
          <w:color w:val="000000"/>
          <w:sz w:val="20"/>
          <w:szCs w:val="20"/>
        </w:rPr>
        <w:t>约定的</w:t>
      </w:r>
      <w:r>
        <w:rPr>
          <w:rFonts w:hint="eastAsia" w:ascii="仿宋" w:hAnsi="仿宋" w:eastAsia="仿宋" w:cs="仿宋"/>
          <w:color w:val="000000"/>
          <w:sz w:val="20"/>
          <w:szCs w:val="20"/>
        </w:rPr>
        <w:t>品种、型号、数量</w:t>
      </w:r>
      <w:r>
        <w:rPr>
          <w:rFonts w:hint="eastAsia" w:ascii="仿宋" w:hAnsi="仿宋" w:eastAsia="仿宋" w:cs="仿宋"/>
          <w:color w:val="000000"/>
          <w:sz w:val="20"/>
          <w:szCs w:val="20"/>
          <w:lang w:eastAsia="zh-CN"/>
        </w:rPr>
        <w:t>、材质、结构、功能、安全性及外观等</w:t>
      </w:r>
      <w:r>
        <w:rPr>
          <w:rFonts w:hint="eastAsia" w:ascii="仿宋" w:hAnsi="仿宋" w:eastAsia="仿宋" w:cs="仿宋"/>
          <w:color w:val="000000"/>
          <w:sz w:val="20"/>
          <w:szCs w:val="20"/>
        </w:rPr>
        <w:t>。</w:t>
      </w:r>
    </w:p>
    <w:p w14:paraId="7FE1199A">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2、甲方因使用、保管、保养不善等造成产品质量下降的，不得提出异议。</w:t>
      </w:r>
    </w:p>
    <w:p w14:paraId="2C5164FF">
      <w:pPr>
        <w:snapToGrid w:val="0"/>
        <w:spacing w:line="500" w:lineRule="exact"/>
        <w:ind w:firstLine="404" w:firstLineChars="202"/>
        <w:rPr>
          <w:rFonts w:hint="eastAsia" w:ascii="仿宋" w:hAnsi="仿宋" w:eastAsia="仿宋" w:cs="仿宋"/>
          <w:color w:val="000000"/>
          <w:sz w:val="20"/>
          <w:szCs w:val="20"/>
        </w:rPr>
      </w:pPr>
      <w:r>
        <w:rPr>
          <w:rFonts w:hint="eastAsia" w:ascii="仿宋" w:hAnsi="仿宋" w:eastAsia="仿宋" w:cs="仿宋"/>
          <w:color w:val="000000"/>
          <w:sz w:val="20"/>
          <w:szCs w:val="20"/>
        </w:rPr>
        <w:t>3、乙方在接到甲方书面异议</w:t>
      </w:r>
      <w:r>
        <w:rPr>
          <w:rFonts w:hint="eastAsia" w:ascii="仿宋" w:hAnsi="仿宋" w:eastAsia="仿宋" w:cs="仿宋"/>
          <w:bCs/>
          <w:color w:val="000000"/>
          <w:sz w:val="20"/>
          <w:szCs w:val="20"/>
        </w:rPr>
        <w:t>之日起</w:t>
      </w:r>
      <w:r>
        <w:rPr>
          <w:rFonts w:hint="eastAsia" w:ascii="仿宋" w:hAnsi="仿宋" w:eastAsia="仿宋" w:cs="仿宋"/>
          <w:color w:val="000000"/>
          <w:sz w:val="20"/>
          <w:szCs w:val="20"/>
        </w:rPr>
        <w:t>，应在</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日内予以回复，否则，即视为默认甲方提出的异议和处理意见。</w:t>
      </w:r>
    </w:p>
    <w:p w14:paraId="4E201AF6">
      <w:pPr>
        <w:snapToGrid w:val="0"/>
        <w:spacing w:line="500" w:lineRule="exact"/>
        <w:ind w:firstLine="404" w:firstLineChars="202"/>
        <w:rPr>
          <w:rFonts w:hint="eastAsia" w:ascii="仿宋" w:hAnsi="仿宋" w:eastAsia="仿宋" w:cs="仿宋"/>
          <w:bCs/>
          <w:color w:val="000000"/>
          <w:sz w:val="20"/>
          <w:szCs w:val="20"/>
        </w:rPr>
      </w:pPr>
      <w:r>
        <w:rPr>
          <w:rFonts w:hint="eastAsia" w:ascii="仿宋" w:hAnsi="仿宋" w:eastAsia="仿宋" w:cs="仿宋"/>
          <w:color w:val="000000"/>
          <w:sz w:val="20"/>
          <w:szCs w:val="20"/>
        </w:rPr>
        <w:t>4、</w:t>
      </w:r>
      <w:r>
        <w:rPr>
          <w:rFonts w:hint="eastAsia" w:ascii="仿宋" w:hAnsi="仿宋" w:eastAsia="仿宋" w:cs="仿宋"/>
          <w:bCs/>
          <w:color w:val="000000"/>
          <w:sz w:val="20"/>
          <w:szCs w:val="20"/>
        </w:rPr>
        <w:t>乙方出售产品的毁损灭失风险，在甲方验收合格并接收前，由乙方承担。</w:t>
      </w:r>
    </w:p>
    <w:p w14:paraId="2D8727B4">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bCs/>
          <w:color w:val="000000"/>
          <w:sz w:val="20"/>
          <w:szCs w:val="20"/>
        </w:rPr>
        <w:t>（二）</w:t>
      </w:r>
      <w:r>
        <w:rPr>
          <w:rFonts w:hint="eastAsia" w:ascii="仿宋" w:hAnsi="仿宋" w:eastAsia="仿宋" w:cs="仿宋"/>
          <w:color w:val="000000"/>
          <w:sz w:val="20"/>
          <w:szCs w:val="20"/>
        </w:rPr>
        <w:t>验收依据：</w:t>
      </w:r>
    </w:p>
    <w:p w14:paraId="70967778">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w:t>
      </w:r>
      <w:r>
        <w:rPr>
          <w:rFonts w:hint="eastAsia" w:ascii="仿宋" w:hAnsi="仿宋" w:eastAsia="仿宋" w:cs="仿宋"/>
          <w:color w:val="000000"/>
          <w:sz w:val="20"/>
          <w:szCs w:val="20"/>
          <w:lang w:val="en-US" w:eastAsia="zh-CN"/>
        </w:rPr>
        <w:t>磋商</w:t>
      </w:r>
      <w:r>
        <w:rPr>
          <w:rFonts w:hint="eastAsia" w:ascii="仿宋" w:hAnsi="仿宋" w:eastAsia="仿宋" w:cs="仿宋"/>
          <w:color w:val="000000"/>
          <w:sz w:val="20"/>
          <w:szCs w:val="20"/>
        </w:rPr>
        <w:t>文件、投标文件、澄清表（函）；</w:t>
      </w:r>
    </w:p>
    <w:p w14:paraId="7ADCA185">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2、本合同及附件文本；</w:t>
      </w:r>
    </w:p>
    <w:p w14:paraId="18B4F688">
      <w:pPr>
        <w:snapToGrid w:val="0"/>
        <w:spacing w:line="5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3、国家相应的标准、规范。</w:t>
      </w:r>
    </w:p>
    <w:p w14:paraId="0CDC25CC">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第十三条  合同争议解决的方式</w:t>
      </w:r>
    </w:p>
    <w:p w14:paraId="1B30C0FB">
      <w:pPr>
        <w:snapToGrid w:val="0"/>
        <w:spacing w:line="500" w:lineRule="exact"/>
        <w:ind w:firstLine="400" w:firstLineChars="200"/>
        <w:rPr>
          <w:rFonts w:hint="eastAsia" w:ascii="仿宋" w:hAnsi="仿宋" w:eastAsia="仿宋" w:cs="仿宋"/>
          <w:b/>
          <w:color w:val="000000"/>
          <w:sz w:val="20"/>
          <w:szCs w:val="20"/>
        </w:rPr>
      </w:pPr>
      <w:r>
        <w:rPr>
          <w:rFonts w:hint="eastAsia" w:ascii="仿宋" w:hAnsi="仿宋" w:eastAsia="仿宋" w:cs="仿宋"/>
          <w:color w:val="000000"/>
          <w:sz w:val="20"/>
          <w:szCs w:val="20"/>
        </w:rPr>
        <w:t>本合同在履行过程中发生的争议，由甲、乙双方当事人协商解决；协商不成的，任意一方应向甲方住所地人民法院起诉。</w:t>
      </w:r>
    </w:p>
    <w:p w14:paraId="0BECFF93">
      <w:pPr>
        <w:snapToGrid w:val="0"/>
        <w:spacing w:line="500" w:lineRule="exact"/>
        <w:ind w:firstLine="402" w:firstLineChars="200"/>
        <w:rPr>
          <w:rFonts w:hint="eastAsia" w:ascii="仿宋" w:hAnsi="仿宋" w:eastAsia="仿宋" w:cs="仿宋"/>
          <w:b/>
          <w:color w:val="000000"/>
          <w:sz w:val="20"/>
          <w:szCs w:val="20"/>
        </w:rPr>
      </w:pPr>
      <w:r>
        <w:rPr>
          <w:rFonts w:hint="eastAsia" w:ascii="仿宋" w:hAnsi="仿宋" w:eastAsia="仿宋" w:cs="仿宋"/>
          <w:b/>
          <w:color w:val="000000"/>
          <w:sz w:val="20"/>
          <w:szCs w:val="20"/>
        </w:rPr>
        <w:t>第十四条  其他事项</w:t>
      </w:r>
    </w:p>
    <w:p w14:paraId="30C92EA6">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（一）本合同经双方法定代表人或者委托代理人签字并加盖公章之日起生效。</w:t>
      </w:r>
    </w:p>
    <w:p w14:paraId="7100BB81">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（二）</w:t>
      </w:r>
      <w:r>
        <w:rPr>
          <w:rFonts w:hint="eastAsia" w:ascii="仿宋" w:hAnsi="仿宋" w:eastAsia="仿宋" w:cs="仿宋"/>
          <w:color w:val="000000"/>
          <w:sz w:val="20"/>
          <w:szCs w:val="20"/>
          <w:lang w:val="en-US" w:eastAsia="zh-CN"/>
        </w:rPr>
        <w:t>磋商</w:t>
      </w:r>
      <w:r>
        <w:rPr>
          <w:rFonts w:hint="eastAsia" w:ascii="仿宋" w:hAnsi="仿宋" w:eastAsia="仿宋" w:cs="仿宋"/>
          <w:color w:val="000000"/>
          <w:sz w:val="20"/>
          <w:szCs w:val="20"/>
        </w:rPr>
        <w:t>文件、</w:t>
      </w:r>
      <w:r>
        <w:rPr>
          <w:rFonts w:hint="eastAsia" w:ascii="仿宋" w:hAnsi="仿宋" w:eastAsia="仿宋" w:cs="仿宋"/>
          <w:color w:val="000000"/>
          <w:sz w:val="20"/>
          <w:szCs w:val="20"/>
          <w:lang w:val="en-US" w:eastAsia="zh-CN"/>
        </w:rPr>
        <w:t>响应</w:t>
      </w:r>
      <w:r>
        <w:rPr>
          <w:rFonts w:hint="eastAsia" w:ascii="仿宋" w:hAnsi="仿宋" w:eastAsia="仿宋" w:cs="仿宋"/>
          <w:color w:val="000000"/>
          <w:sz w:val="20"/>
          <w:szCs w:val="20"/>
        </w:rPr>
        <w:t>文件、澄清表（函）、合同附件均成为合同不可分割的部分。</w:t>
      </w:r>
    </w:p>
    <w:p w14:paraId="42FC087D">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（三）对本合同条款的任何变更、修改或增减，须经双方协商同意后签署补充协议，该补充协议作为本合同的组成部分并具有同等效力。</w:t>
      </w:r>
    </w:p>
    <w:p w14:paraId="2ADBB4ED">
      <w:pPr>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（四）本合同未尽事宜由双方另行协商，因执行本合同所发生的和本合同有关的一切争议，双方应友好协商解决。如经协商未达成一致，任何一方可向甲方住所地有管辖权的人民法院提起诉讼。</w:t>
      </w:r>
    </w:p>
    <w:p w14:paraId="0885C56C">
      <w:pPr>
        <w:tabs>
          <w:tab w:val="left" w:pos="540"/>
          <w:tab w:val="left" w:pos="720"/>
        </w:tabs>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五</w:t>
      </w:r>
      <w:r>
        <w:rPr>
          <w:rFonts w:hint="eastAsia" w:ascii="仿宋" w:hAnsi="仿宋" w:eastAsia="仿宋" w:cs="仿宋"/>
          <w:color w:val="000000"/>
          <w:sz w:val="20"/>
          <w:szCs w:val="20"/>
        </w:rPr>
        <w:t>）任何一方违约，除按照本协议约定承担违约责任外，还需赔偿另一方因此产生的所有费用，该费用包括但不限于为追究违约责任而产生的差旅费、公证费、评估费、律师费等。</w:t>
      </w:r>
    </w:p>
    <w:p w14:paraId="096DF263">
      <w:pPr>
        <w:snapToGrid w:val="0"/>
        <w:spacing w:line="5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六</w:t>
      </w:r>
      <w:r>
        <w:rPr>
          <w:rFonts w:hint="eastAsia" w:ascii="仿宋" w:hAnsi="仿宋" w:eastAsia="仿宋" w:cs="仿宋"/>
          <w:color w:val="000000"/>
          <w:sz w:val="20"/>
          <w:szCs w:val="20"/>
        </w:rPr>
        <w:t>）本合同一式</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份，甲方、乙方各执</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份。自甲乙双方法定代表人或者委托代理人签字并加盖公章后生效，合同执行完毕自动失效。（合同的服务承诺仍然有效）。传真件具有同等法律效力。</w:t>
      </w:r>
    </w:p>
    <w:p w14:paraId="226F14E0">
      <w:pPr>
        <w:snapToGrid w:val="0"/>
        <w:spacing w:line="500" w:lineRule="exact"/>
        <w:ind w:firstLine="400" w:firstLineChars="200"/>
        <w:jc w:val="left"/>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七</w:t>
      </w:r>
      <w:r>
        <w:rPr>
          <w:rFonts w:hint="eastAsia" w:ascii="仿宋" w:hAnsi="仿宋" w:eastAsia="仿宋" w:cs="仿宋"/>
          <w:color w:val="000000"/>
          <w:sz w:val="20"/>
          <w:szCs w:val="20"/>
        </w:rPr>
        <w:t>）本合同约定的地址为双方有效送达地址，任意一方发生变更的，应当在变更之日起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日内向另一方通知，未通知另一方的，另一方按照约定地址发出的信件自发出之日起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日内视为有效送达。</w:t>
      </w:r>
    </w:p>
    <w:p w14:paraId="0168D7EE">
      <w:pPr>
        <w:widowControl/>
        <w:jc w:val="left"/>
        <w:rPr>
          <w:rFonts w:hint="eastAsia" w:ascii="仿宋" w:hAnsi="仿宋" w:eastAsia="仿宋" w:cs="仿宋"/>
          <w:color w:val="000000"/>
          <w:sz w:val="20"/>
          <w:szCs w:val="20"/>
        </w:rPr>
      </w:pPr>
    </w:p>
    <w:p w14:paraId="237DAAD3">
      <w:pPr>
        <w:rPr>
          <w:rFonts w:hint="eastAsia" w:ascii="仿宋" w:hAnsi="仿宋" w:eastAsia="仿宋" w:cs="仿宋"/>
          <w:sz w:val="20"/>
          <w:szCs w:val="20"/>
        </w:rPr>
      </w:pPr>
    </w:p>
    <w:p w14:paraId="7B995F55">
      <w:pPr>
        <w:snapToGrid w:val="0"/>
        <w:spacing w:line="500" w:lineRule="exact"/>
        <w:jc w:val="lef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甲  方：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 xml:space="preserve">乙  方：                             </w:t>
      </w:r>
    </w:p>
    <w:p w14:paraId="3AB84880">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地  址：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 xml:space="preserve">地  址：  </w:t>
      </w:r>
    </w:p>
    <w:p w14:paraId="1A4E795E">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法定代表人（委托代理人）：                法定代表人（委托代理人）：</w:t>
      </w:r>
    </w:p>
    <w:p w14:paraId="2C14C1E3">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盖章：                                    盖章：</w:t>
      </w:r>
    </w:p>
    <w:p w14:paraId="773AA582">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联系电话：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联系人：         电 话：</w:t>
      </w:r>
    </w:p>
    <w:p w14:paraId="0D217E70">
      <w:pPr>
        <w:snapToGrid w:val="0"/>
        <w:spacing w:line="5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传   真：                </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开户行及账号：</w:t>
      </w:r>
    </w:p>
    <w:p w14:paraId="6985A876">
      <w:pPr>
        <w:widowControl/>
        <w:jc w:val="left"/>
        <w:rPr>
          <w:rFonts w:hint="eastAsia" w:ascii="仿宋" w:hAnsi="仿宋" w:eastAsia="仿宋" w:cs="仿宋"/>
          <w:color w:val="000000"/>
          <w:sz w:val="20"/>
          <w:szCs w:val="20"/>
        </w:rPr>
      </w:pPr>
    </w:p>
    <w:p w14:paraId="1C252DA4">
      <w:r>
        <w:rPr>
          <w:rFonts w:hint="eastAsia" w:ascii="仿宋" w:hAnsi="仿宋" w:eastAsia="仿宋" w:cs="仿宋"/>
          <w:color w:val="000000"/>
          <w:sz w:val="20"/>
          <w:szCs w:val="20"/>
        </w:rPr>
        <w:t>签订日期：                                签订日期：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4BBF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004F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F004F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B9D4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E7863"/>
    <w:rsid w:val="29E734DC"/>
    <w:rsid w:val="2D2E7863"/>
    <w:rsid w:val="3F662C15"/>
    <w:rsid w:val="4D3F0EC1"/>
    <w:rsid w:val="63831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index 4"/>
    <w:basedOn w:val="1"/>
    <w:next w:val="1"/>
    <w:qFormat/>
    <w:uiPriority w:val="0"/>
    <w:pPr>
      <w:ind w:left="600"/>
    </w:pPr>
    <w:rPr>
      <w:rFonts w:ascii="Calibri" w:hAnsi="Calibri"/>
      <w:szCs w:val="22"/>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3040</Words>
  <Characters>3053</Characters>
  <Lines>0</Lines>
  <Paragraphs>0</Paragraphs>
  <TotalTime>1</TotalTime>
  <ScaleCrop>false</ScaleCrop>
  <LinksUpToDate>false</LinksUpToDate>
  <CharactersWithSpaces>4024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2025-09-25T02:38:00Z</dcterms:created>
  <dc:creator>华达峰信</dc:creator>
  <cp:lastModifiedBy>M…木！</cp:lastModifiedBy>
  <dcterms:modified xsi:type="dcterms:W3CDTF">2026-07-08T08:37:24Z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8429CE640EE64E158B96024D747F8A71_11</vt:lpwstr>
  </property>
  <property fmtid="{D5CDD505-2E9C-101B-9397-08002B2CF9AE}" pid="4" name="KSOTemplateDocerSaveRecord">
    <vt:lpwstr>eyJoZGlkIjoiYWFmYmY0NDRiYmE2ZGY2NjkyYTdkNjdhZmM5YzJiN2EiLCJ1c2VySWQiOiIzNTk3MTIyMDAifQ==</vt:lpwstr>
  </property>
</Properties>
</file>