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版本号：DCZX2026-ZCCS-FW103420260522001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电子卷宗随案生成项目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DCZX2026-ZCCS-FW1034</w:t>
      </w:r>
      <w:r>
        <w:br/>
      </w:r>
      <w:r>
        <w:br/>
      </w:r>
      <w:r>
        <w:br/>
      </w:r>
    </w:p>
    <w:p>
      <w:pPr>
        <w:pStyle w:val="null3"/>
        <w:jc w:val="center"/>
        <w:outlineLvl w:val="2"/>
      </w:pPr>
      <w:r>
        <w:rPr>
          <w:rFonts w:ascii="仿宋_GB2312" w:hAnsi="仿宋_GB2312" w:cs="仿宋_GB2312" w:eastAsia="仿宋_GB2312"/>
          <w:sz w:val="28"/>
          <w:b/>
        </w:rPr>
        <w:t>陕西西咸新区人民法院</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陕西西咸新区人民法院</w:t>
      </w:r>
      <w:r>
        <w:rPr>
          <w:rFonts w:ascii="仿宋_GB2312" w:hAnsi="仿宋_GB2312" w:cs="仿宋_GB2312" w:eastAsia="仿宋_GB2312"/>
        </w:rPr>
        <w:t>委托，拟对</w:t>
      </w:r>
      <w:r>
        <w:rPr>
          <w:rFonts w:ascii="仿宋_GB2312" w:hAnsi="仿宋_GB2312" w:cs="仿宋_GB2312" w:eastAsia="仿宋_GB2312"/>
        </w:rPr>
        <w:t>电子卷宗随案生成项目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DCZX2026-ZCCS-FW1034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电子卷宗随案生成项目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最高人民法院及陕西省高级人民法院关于人民法院档案数字化工作的具体要求，将信息化应用置于优先地位，为法院电子卷宗随案同步生成的信息回填、智能阅卷、文书生成、卷宗调阅等深度应用功能筑牢坚实基础，推动电子卷宗在辅助办案、流程监督、审判监督、优化服务等领域全面助力无纸化办案，优化办案模式、提升司法为民水平，助力法院进入“无纸化”办案新境界，陕西西咸新区人民法院将电子卷宗随案同步生成工作打造为可复制、可延伸、可同步深度应用的模式，以实现无纸化办案的最终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采购包1（电子卷宗随案生成项目）：属于专门面向中小企业采购。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1、身份证明：法定代表人授权书（法定代表人直接参加磋商，须提供法定代表人身份证明）；</w:t>
      </w:r>
    </w:p>
    <w:p>
      <w:pPr>
        <w:pStyle w:val="null3"/>
      </w:pPr>
      <w:r>
        <w:rPr>
          <w:rFonts w:ascii="仿宋_GB2312" w:hAnsi="仿宋_GB2312" w:cs="仿宋_GB2312" w:eastAsia="仿宋_GB2312"/>
        </w:rPr>
        <w:t>2、中小企业预留政策：本项目专门面向中小企业采购，仅限符合《政府采购促进中小企业发展管理办法》的通知(财库〔2020〕46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3、非联合体声明：本项目不接受联合体磋商。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陕西西咸新区人民法院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陕西省西咸新区空港新城俊采大街17号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029-32207033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彭宏飞、胡丽珠、刘玮哲、潘娟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采购包1：1,302,300.00元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代理服务费收费标准：1、按《招标代理服务收费管理暂行办法》（计价格[2002]1980号）和《关于招标代理服务收费有关问题的通知》(发改办价格[2003]857号）的有关规定下浮20%执行。 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陕西西咸新区人民法院</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陕西西咸新区人民法院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陕西西咸新区人民法院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最高人民法院及陕西省高级人民法院关于人民法院档案数字化工作的具体要求，将信息化应用置于优先地位，为法院电子卷宗随案同步生成的信息回填、智能阅卷、文书生成、卷宗调阅等深度应用功能筑牢坚实基础，推动电子卷宗在辅助办案、流程监督、审判监督、优化服务等领域全面助力无纸化办案，优化办案模式、提升司法为民水平，助力法院进入“无纸化”办案新境界，陕西西咸新区人民法院将电子卷宗随案同步生成工作打造为可复制、可延伸、可同步深度应用的模式，以实现无纸化办案的最终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1,302,300.00</w:t>
      </w:r>
    </w:p>
    <w:p>
      <w:pPr>
        <w:pStyle w:val="null3"/>
      </w:pPr>
      <w:r>
        <w:rPr>
          <w:rFonts w:ascii="仿宋_GB2312" w:hAnsi="仿宋_GB2312" w:cs="仿宋_GB2312" w:eastAsia="仿宋_GB2312"/>
        </w:rPr>
        <w:t>采购包最高限价（元）: 1,302,300.00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1,302,300.00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1"/>
            </w:tblGrid>
            <w:tr>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服务内容：</w:t>
                  </w:r>
                </w:p>
                <w:p>
                  <w:pPr>
                    <w:pStyle w:val="null3"/>
                    <w:ind w:firstLine="480"/>
                    <w:jc w:val="both"/>
                  </w:pPr>
                  <w:r>
                    <w:rPr>
                      <w:rFonts w:ascii="仿宋_GB2312" w:hAnsi="仿宋_GB2312" w:cs="仿宋_GB2312" w:eastAsia="仿宋_GB2312"/>
                      <w:sz w:val="24"/>
                      <w:color w:val="000000"/>
                    </w:rPr>
                    <w:t>该项目共包含两个部分</w:t>
                  </w:r>
                  <w:r>
                    <w:rPr>
                      <w:rFonts w:ascii="仿宋_GB2312" w:hAnsi="仿宋_GB2312" w:cs="仿宋_GB2312" w:eastAsia="仿宋_GB2312"/>
                      <w:sz w:val="24"/>
                      <w:color w:val="000000"/>
                    </w:rPr>
                    <w:t>：一是针对民商事案件的电子卷宗随案同步生成工作。服务内容主要包含材料收转、卷宗扫描、校核编目、卷宗借阅、卷宗存储等工作。二是针对刑事和执行案件的档</w:t>
                  </w:r>
                  <w:r>
                    <w:rPr>
                      <w:rFonts w:ascii="仿宋_GB2312" w:hAnsi="仿宋_GB2312" w:cs="仿宋_GB2312" w:eastAsia="仿宋_GB2312"/>
                      <w:sz w:val="24"/>
                      <w:color w:val="000000"/>
                    </w:rPr>
                    <w:t>案数字化工作。对暂不适宜进行电子卷宗随案同步生成的刑事案件和执行案件，在案件办理结束后，对卷宗进行集中数字化加工处理，形成符合档案归档要求的档案资料及电子数据扫描和上传，完成档案数字化工作。</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（一）电子卷宗随案同步</w:t>
                  </w:r>
                </w:p>
                <w:p>
                  <w:pPr>
                    <w:pStyle w:val="null3"/>
                    <w:ind w:firstLine="480"/>
                    <w:jc w:val="left"/>
                  </w:pPr>
                  <w:r>
                    <w:rPr>
                      <w:rFonts w:ascii="仿宋_GB2312" w:hAnsi="仿宋_GB2312" w:cs="仿宋_GB2312" w:eastAsia="仿宋_GB2312"/>
                      <w:sz w:val="24"/>
                      <w:color w:val="000000"/>
                    </w:rPr>
                    <w:t>全流程电子卷宗随案同步内容包括电子卷宗、电子档案、纸质案卷的卷内整理、管理、归档以及审判执行工作中的同步辅助性工作内容。具体工作内容如下：</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.数字化扫描：包括纸质材料的接卷、整理、质检、扫描、结案上传、装订等内容；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1）接卷：每个阶段的案件材料按时间节点移送至电子卷宗随案生成中心，由双方负责人案件核查、签字确认；</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2）整理：排序、编码、打印目录、写卷皮、填写备考表；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3）质检：由电子卷宗随案生成中心负责人针对整理材料进行核准、审查相关工作，保证纸质材料的完整性；</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4）扫描：针对案卷材料进行图片的纠偏、去污、拆边、图片旋转等处理，扫描后的原始图像应进行优化处理，使得成品图像清晰、端正；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5）结案上传：在</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一张网</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系统中，根据档案目录编辑电子档案目录点击上传，核对目录条是否与材料内容一一对应；</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6）装订：案件资料应遵循“两对齐”、“三孔一线”的标准并进行封条盖章，完成装订工作。</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.电子卷宗：包括扫描、卷宗上传、质检、系统操作等内容；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1）扫描：将各阶段案卷材料按照时间节点，进行图片的纠偏、去污、拆边、图片旋转等处理，扫描后的原始图像应进行优化处理，使得成品图像清晰、端正；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2）卷宗上传：在电子卷宗系统中，将各阶段案卷材料按照时间节点，归目后完成上传；</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3）质检：核对已上传的电子材料是否与目录条目、名称一一对应，保证材料纸电一致；</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4）系统操作：按照电子卷宗随案同步的考核标准，在</w:t>
                  </w:r>
                  <w:r>
                    <w:rPr>
                      <w:rFonts w:ascii="仿宋_GB2312" w:hAnsi="仿宋_GB2312" w:cs="仿宋_GB2312" w:eastAsia="仿宋_GB2312"/>
                      <w:sz w:val="24"/>
                      <w:color w:val="000000"/>
                    </w:rPr>
                    <w:t>“</w:t>
                  </w:r>
                  <w:r>
                    <w:rPr>
                      <w:rFonts w:ascii="仿宋_GB2312" w:hAnsi="仿宋_GB2312" w:cs="仿宋_GB2312" w:eastAsia="仿宋_GB2312"/>
                      <w:sz w:val="24"/>
                      <w:color w:val="000000"/>
                    </w:rPr>
                    <w:t>一张网</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系统中</w:t>
                  </w:r>
                  <w:r>
                    <w:rPr>
                      <w:rFonts w:ascii="仿宋_GB2312" w:hAnsi="仿宋_GB2312" w:cs="仿宋_GB2312" w:eastAsia="仿宋_GB2312"/>
                      <w:sz w:val="24"/>
                      <w:color w:val="000000"/>
                    </w:rPr>
                    <w:t>完成各阶段系统挂接工作。</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.案卷工作：包括纸质案卷的卷内材料整理、案卷整理、案卷管理及归档等内容。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1）卷内材料整理：将各阶段材料收集整合，同一案卷材料按照装订厚度要求进行分册，进行排序、编码、打印目录、写卷皮、填写备考表等；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2）案卷整理：对已经装订好的案卷进行贴侧标、盖档案数字章、档案封存章等；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3）案卷管理及归档：对未归档案件纸质案卷管理，符合归档条件的案卷进行系统签收、归档验收，验收通过后，协助入库上架。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在接收到</w:t>
                  </w:r>
                  <w:r>
                    <w:rPr>
                      <w:rFonts w:ascii="仿宋_GB2312" w:hAnsi="仿宋_GB2312" w:cs="仿宋_GB2312" w:eastAsia="仿宋_GB2312"/>
                      <w:sz w:val="24"/>
                      <w:color w:val="000000"/>
                    </w:rPr>
                    <w:t>“归档整理”指令后10个工作日内将整理完成的电子档案发送承办法官审核，纸质档案组卷完成移交档案室。</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借阅管理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在提供案卷借阅服务时，应当及时做好借阅登记工作，收到归还材料时，应当认真检查卷内材料，如发现材料有短缺、涂改、污损等情况的，及时向管理部门报告。保证材料齐全、内容完整。</w:t>
                  </w:r>
                </w:p>
                <w:p>
                  <w:pPr>
                    <w:pStyle w:val="null3"/>
                    <w:numPr>
                      <w:ilvl w:val="0"/>
                      <w:numId w:val="1"/>
                    </w:numPr>
                    <w:jc w:val="left"/>
                  </w:pPr>
                  <w:r>
                    <w:rPr>
                      <w:rFonts w:ascii="仿宋_GB2312" w:hAnsi="仿宋_GB2312" w:cs="仿宋_GB2312" w:eastAsia="仿宋_GB2312"/>
                      <w:sz w:val="24"/>
                      <w:color w:val="000000"/>
                    </w:rPr>
                    <w:t>工作地点及服务时限</w:t>
                  </w:r>
                </w:p>
                <w:p>
                  <w:pPr>
                    <w:pStyle w:val="null3"/>
                    <w:numPr>
                      <w:ilvl w:val="0"/>
                      <w:numId w:val="2"/>
                    </w:numPr>
                  </w:pPr>
                  <w:r>
                    <w:rPr>
                      <w:rFonts w:ascii="仿宋_GB2312" w:hAnsi="仿宋_GB2312" w:cs="仿宋_GB2312" w:eastAsia="仿宋_GB2312"/>
                      <w:sz w:val="24"/>
                      <w:color w:val="000000"/>
                    </w:rPr>
                    <w:t>供应商派驻团队到采购人办公地提供服务，服务团队人员不少于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人。采购人不支付任何形式的加班及食宿费用。</w:t>
                  </w:r>
                </w:p>
                <w:p>
                  <w:pPr>
                    <w:pStyle w:val="null3"/>
                    <w:numPr>
                      <w:ilvl w:val="0"/>
                      <w:numId w:val="2"/>
                    </w:numPr>
                  </w:pPr>
                  <w:r>
                    <w:rPr>
                      <w:rFonts w:ascii="仿宋_GB2312" w:hAnsi="仿宋_GB2312" w:cs="仿宋_GB2312" w:eastAsia="仿宋_GB2312"/>
                      <w:sz w:val="24"/>
                      <w:color w:val="000000"/>
                    </w:rPr>
                    <w:t>为保证诉讼材料能够实时扫描上传至业务系统，电子卷宗随案同步生成工作人员原则上做到当日材料当日扫描上传完成，个别因材料过多等原因不能当日完成的，必须做好标记和记录，并在下一个工作日优先处理完成，最长不得超过</w:t>
                  </w:r>
                  <w:r>
                    <w:rPr>
                      <w:rFonts w:ascii="仿宋_GB2312" w:hAnsi="仿宋_GB2312" w:cs="仿宋_GB2312" w:eastAsia="仿宋_GB2312"/>
                      <w:sz w:val="24"/>
                      <w:color w:val="000000"/>
                    </w:rPr>
                    <w:t>3个工作日。</w:t>
                  </w:r>
                </w:p>
                <w:tbl>
                  <w:tblPr>
                    <w:tblBorders>
                      <w:top w:val="none" w:color="000000" w:sz="4"/>
                      <w:left w:val="none" w:color="000000" w:sz="4"/>
                      <w:bottom w:val="none" w:color="000000" w:sz="4"/>
                      <w:right w:val="none" w:color="000000" w:sz="4"/>
                      <w:insideH w:val="none"/>
                      <w:insideV w:val="none"/>
                    </w:tblBorders>
                  </w:tblPr>
                  <w:tblGrid>
                    <w:gridCol w:w="241"/>
                    <w:gridCol w:w="297"/>
                    <w:gridCol w:w="731"/>
                    <w:gridCol w:w="1065"/>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节点</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卷宗上传时限</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备注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立案</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同步入卷，最迟立案后</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w:t>
                        </w:r>
                        <w:r>
                          <w:rPr>
                            <w:rFonts w:ascii="仿宋_GB2312" w:hAnsi="仿宋_GB2312" w:cs="仿宋_GB2312" w:eastAsia="仿宋_GB2312"/>
                            <w:sz w:val="24"/>
                            <w:color w:val="000000"/>
                          </w:rPr>
                          <w:t>日内</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至少包含起诉状、上诉状、再审申请书、强制执行申请书、抗诉书等文书材料的扫描上传工作应实时完成，并通过</w:t>
                        </w:r>
                        <w:r>
                          <w:rPr>
                            <w:rFonts w:ascii="仿宋_GB2312" w:hAnsi="仿宋_GB2312" w:cs="仿宋_GB2312" w:eastAsia="仿宋_GB2312"/>
                            <w:sz w:val="24"/>
                            <w:color w:val="000000"/>
                          </w:rPr>
                          <w:t>“一张网”OCR识别功能自动回填完成案件立案的基本信息。</w:t>
                        </w:r>
                        <w:r>
                          <w:rPr>
                            <w:rFonts w:ascii="仿宋_GB2312" w:hAnsi="仿宋_GB2312" w:cs="仿宋_GB2312" w:eastAsia="仿宋_GB2312"/>
                            <w:sz w:val="24"/>
                            <w:color w:val="000000"/>
                          </w:rPr>
                          <w:t>2.其他诉讼材料(当事人身份证明、授权委托书、证据目录、证据材料、执行依据及生效证明等相关材料)，应在3个工作日内完成上传工作。</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审理</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同步入卷，最迟</w:t>
                        </w:r>
                        <w:r>
                          <w:rPr>
                            <w:rFonts w:ascii="仿宋_GB2312" w:hAnsi="仿宋_GB2312" w:cs="仿宋_GB2312" w:eastAsia="仿宋_GB2312"/>
                            <w:sz w:val="24"/>
                            <w:color w:val="000000"/>
                          </w:rPr>
                          <w:t>在接收</w:t>
                        </w:r>
                        <w:r>
                          <w:rPr>
                            <w:rFonts w:ascii="仿宋_GB2312" w:hAnsi="仿宋_GB2312" w:cs="仿宋_GB2312" w:eastAsia="仿宋_GB2312"/>
                            <w:sz w:val="24"/>
                            <w:color w:val="000000"/>
                          </w:rPr>
                          <w:t>后</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个工作</w:t>
                        </w:r>
                        <w:r>
                          <w:rPr>
                            <w:rFonts w:ascii="仿宋_GB2312" w:hAnsi="仿宋_GB2312" w:cs="仿宋_GB2312" w:eastAsia="仿宋_GB2312"/>
                            <w:sz w:val="24"/>
                            <w:color w:val="000000"/>
                          </w:rPr>
                          <w:t>日内</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确认类庭前文书(送达地址确认书、退费确认书等)、代理词及新增证据、送达回证等材料应在接收后3个工作日内上传至电子卷宗。2.线下制作的庭审笔录、调解笔录、阅卷笔录、审理报告、合议庭笔录等其他诉讼文书在完成后3个工作日内上传至电子卷宗;3.其他需要入卷的材料在形成或收到后3个工作日内上传至电子卷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执行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最迟</w:t>
                        </w:r>
                        <w:r>
                          <w:rPr>
                            <w:rFonts w:ascii="仿宋_GB2312" w:hAnsi="仿宋_GB2312" w:cs="仿宋_GB2312" w:eastAsia="仿宋_GB2312"/>
                            <w:sz w:val="24"/>
                            <w:color w:val="000000"/>
                          </w:rPr>
                          <w:t>接收后</w:t>
                        </w:r>
                        <w:r>
                          <w:rPr>
                            <w:rFonts w:ascii="仿宋_GB2312" w:hAnsi="仿宋_GB2312" w:cs="仿宋_GB2312" w:eastAsia="仿宋_GB2312"/>
                            <w:sz w:val="24"/>
                            <w:color w:val="000000"/>
                          </w:rPr>
                          <w:t>3个工作</w:t>
                        </w:r>
                        <w:r>
                          <w:rPr>
                            <w:rFonts w:ascii="仿宋_GB2312" w:hAnsi="仿宋_GB2312" w:cs="仿宋_GB2312" w:eastAsia="仿宋_GB2312"/>
                            <w:sz w:val="24"/>
                            <w:color w:val="000000"/>
                          </w:rPr>
                          <w:t>日内</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执行笔录、听证笔录、送达回证、当事人提交的其他相关材料等生成或接收后</w:t>
                        </w:r>
                        <w:r>
                          <w:rPr>
                            <w:rFonts w:ascii="仿宋_GB2312" w:hAnsi="仿宋_GB2312" w:cs="仿宋_GB2312" w:eastAsia="仿宋_GB2312"/>
                            <w:sz w:val="24"/>
                            <w:color w:val="000000"/>
                          </w:rPr>
                          <w:t>3个工作日内上传至电子卷宗。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结案</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最迟</w:t>
                        </w:r>
                        <w:r>
                          <w:rPr>
                            <w:rFonts w:ascii="仿宋_GB2312" w:hAnsi="仿宋_GB2312" w:cs="仿宋_GB2312" w:eastAsia="仿宋_GB2312"/>
                            <w:sz w:val="24"/>
                            <w:color w:val="000000"/>
                          </w:rPr>
                          <w:t>5日内</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按照要求补充完整电子卷宗。</w:t>
                        </w:r>
                      </w:p>
                    </w:tc>
                  </w:tr>
                </w:tbl>
                <w:p>
                  <w:pPr>
                    <w:pStyle w:val="null3"/>
                    <w:ind w:firstLine="480"/>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技术标准</w:t>
                  </w:r>
                </w:p>
                <w:p>
                  <w:pPr>
                    <w:pStyle w:val="null3"/>
                    <w:spacing w:after="165"/>
                    <w:ind w:firstLine="480"/>
                    <w:jc w:val="both"/>
                  </w:pPr>
                  <w:r>
                    <w:rPr>
                      <w:rFonts w:ascii="仿宋_GB2312" w:hAnsi="仿宋_GB2312" w:cs="仿宋_GB2312" w:eastAsia="仿宋_GB2312"/>
                      <w:sz w:val="24"/>
                    </w:rPr>
                    <w:t>本项目的质量要求按照陕西省高级人民法院对电子档案的建设要求来执行。依据或参照行业的有关标准规范进行项目实施，具体如下：</w:t>
                  </w:r>
                </w:p>
                <w:p>
                  <w:pPr>
                    <w:pStyle w:val="null3"/>
                    <w:spacing w:after="165"/>
                    <w:ind w:firstLine="480"/>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DA/T 31-2017中华人民共和国档案行业标准《纸质档案数字化技术规范》；</w:t>
                  </w:r>
                </w:p>
                <w:p>
                  <w:pPr>
                    <w:pStyle w:val="null3"/>
                    <w:spacing w:after="165"/>
                    <w:ind w:firstLine="480"/>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DA/T18-1999《档案著录规则》；</w:t>
                  </w:r>
                </w:p>
                <w:p>
                  <w:pPr>
                    <w:pStyle w:val="null3"/>
                    <w:spacing w:after="165"/>
                    <w:ind w:firstLine="480"/>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GB/T 18894-2016《电子文档归档与管理规范》；</w:t>
                  </w:r>
                </w:p>
                <w:p>
                  <w:pPr>
                    <w:pStyle w:val="null3"/>
                    <w:spacing w:after="165"/>
                    <w:ind w:firstLine="480"/>
                    <w:jc w:val="both"/>
                  </w:pPr>
                  <w:r>
                    <w:rPr>
                      <w:rFonts w:ascii="仿宋_GB2312" w:hAnsi="仿宋_GB2312" w:cs="仿宋_GB2312" w:eastAsia="仿宋_GB2312"/>
                      <w:sz w:val="24"/>
                      <w:color w:val="000000"/>
                    </w:rPr>
                    <w:t>（五）《信息技术连续色调静态图像的数字压缩及编码第</w:t>
                  </w:r>
                  <w:r>
                    <w:rPr>
                      <w:rFonts w:ascii="仿宋_GB2312" w:hAnsi="仿宋_GB2312" w:cs="仿宋_GB2312" w:eastAsia="仿宋_GB2312"/>
                      <w:sz w:val="24"/>
                      <w:color w:val="000000"/>
                    </w:rPr>
                    <w:t>1部分：要求和指南》GB/T 17235.1-1998;</w:t>
                  </w:r>
                </w:p>
                <w:p>
                  <w:pPr>
                    <w:pStyle w:val="null3"/>
                    <w:spacing w:after="165"/>
                    <w:ind w:firstLine="480"/>
                    <w:jc w:val="both"/>
                  </w:pPr>
                  <w:r>
                    <w:rPr>
                      <w:rFonts w:ascii="仿宋_GB2312" w:hAnsi="仿宋_GB2312" w:cs="仿宋_GB2312" w:eastAsia="仿宋_GB2312"/>
                      <w:sz w:val="24"/>
                      <w:color w:val="000000"/>
                    </w:rPr>
                    <w:t>（六）《信息技术连续色调静态图像的数字压缩及编码第</w:t>
                  </w:r>
                  <w:r>
                    <w:rPr>
                      <w:rFonts w:ascii="仿宋_GB2312" w:hAnsi="仿宋_GB2312" w:cs="仿宋_GB2312" w:eastAsia="仿宋_GB2312"/>
                      <w:sz w:val="24"/>
                      <w:color w:val="000000"/>
                    </w:rPr>
                    <w:t>2部分：一致性测试》GB/T17235.2-1998;</w:t>
                  </w:r>
                </w:p>
                <w:p>
                  <w:pPr>
                    <w:pStyle w:val="null3"/>
                    <w:spacing w:after="165"/>
                    <w:ind w:firstLine="480"/>
                    <w:jc w:val="both"/>
                  </w:pPr>
                  <w:r>
                    <w:rPr>
                      <w:rFonts w:ascii="仿宋_GB2312" w:hAnsi="仿宋_GB2312" w:cs="仿宋_GB2312" w:eastAsia="仿宋_GB2312"/>
                      <w:sz w:val="24"/>
                      <w:color w:val="000000"/>
                    </w:rPr>
                    <w:t>（七）最高人民法院《人民法院纸质档案数字化处理规范》</w:t>
                  </w:r>
                  <w:r>
                    <w:rPr>
                      <w:rFonts w:ascii="仿宋_GB2312" w:hAnsi="仿宋_GB2312" w:cs="仿宋_GB2312" w:eastAsia="仿宋_GB2312"/>
                      <w:sz w:val="24"/>
                      <w:color w:val="000000"/>
                    </w:rPr>
                    <w:t>2007；</w:t>
                  </w:r>
                </w:p>
                <w:p>
                  <w:pPr>
                    <w:pStyle w:val="null3"/>
                    <w:spacing w:after="165"/>
                    <w:ind w:firstLine="480"/>
                    <w:jc w:val="both"/>
                  </w:pPr>
                  <w:r>
                    <w:rPr>
                      <w:rFonts w:ascii="仿宋_GB2312" w:hAnsi="仿宋_GB2312" w:cs="仿宋_GB2312" w:eastAsia="仿宋_GB2312"/>
                      <w:sz w:val="24"/>
                      <w:color w:val="000000"/>
                    </w:rPr>
                    <w:t>（八）陕西省高级人民法院《关于全省法院卷宗数字化技术要求的通知》陕高法（</w:t>
                  </w:r>
                  <w:r>
                    <w:rPr>
                      <w:rFonts w:ascii="仿宋_GB2312" w:hAnsi="仿宋_GB2312" w:cs="仿宋_GB2312" w:eastAsia="仿宋_GB2312"/>
                      <w:sz w:val="24"/>
                      <w:color w:val="000000"/>
                    </w:rPr>
                    <w:t>2017）205号文件</w:t>
                  </w:r>
                </w:p>
                <w:p>
                  <w:pPr>
                    <w:pStyle w:val="null3"/>
                    <w:spacing w:after="165"/>
                    <w:ind w:firstLine="480"/>
                    <w:jc w:val="both"/>
                  </w:pPr>
                  <w:r>
                    <w:rPr>
                      <w:rFonts w:ascii="仿宋_GB2312" w:hAnsi="仿宋_GB2312" w:cs="仿宋_GB2312" w:eastAsia="仿宋_GB2312"/>
                      <w:sz w:val="24"/>
                      <w:color w:val="000000"/>
                    </w:rPr>
                    <w:t>（九）陕西省高级人民法院《关于全省法院卷宗数字化技术要求的通知》陕高法（</w:t>
                  </w:r>
                  <w:r>
                    <w:rPr>
                      <w:rFonts w:ascii="仿宋_GB2312" w:hAnsi="仿宋_GB2312" w:cs="仿宋_GB2312" w:eastAsia="仿宋_GB2312"/>
                      <w:sz w:val="24"/>
                      <w:color w:val="000000"/>
                    </w:rPr>
                    <w:t>2017）205号文件</w:t>
                  </w:r>
                </w:p>
                <w:p>
                  <w:pPr>
                    <w:pStyle w:val="null3"/>
                    <w:spacing w:after="16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十</w:t>
                  </w:r>
                  <w:r>
                    <w:rPr>
                      <w:rFonts w:ascii="仿宋_GB2312" w:hAnsi="仿宋_GB2312" w:cs="仿宋_GB2312" w:eastAsia="仿宋_GB2312"/>
                      <w:sz w:val="24"/>
                      <w:color w:val="000000"/>
                    </w:rPr>
                    <w:t>）陕西省高级人民法院关于印发《陕西法院电子卷宗随案同步生成工作规范</w:t>
                  </w:r>
                  <w:r>
                    <w:rPr>
                      <w:rFonts w:ascii="仿宋_GB2312" w:hAnsi="仿宋_GB2312" w:cs="仿宋_GB2312" w:eastAsia="仿宋_GB2312"/>
                      <w:sz w:val="24"/>
                      <w:color w:val="000000"/>
                    </w:rPr>
                    <w:t>(试行)》的通知</w:t>
                  </w:r>
                  <w:r>
                    <w:rPr>
                      <w:rFonts w:ascii="仿宋_GB2312" w:hAnsi="仿宋_GB2312" w:cs="仿宋_GB2312" w:eastAsia="仿宋_GB2312"/>
                      <w:sz w:val="19"/>
                    </w:rPr>
                    <w:t xml:space="preserve"> </w:t>
                  </w:r>
                  <w:r>
                    <w:rPr>
                      <w:rFonts w:ascii="仿宋_GB2312" w:hAnsi="仿宋_GB2312" w:cs="仿宋_GB2312" w:eastAsia="仿宋_GB2312"/>
                      <w:sz w:val="24"/>
                      <w:color w:val="000000"/>
                    </w:rPr>
                    <w:t>陕高法发</w:t>
                  </w:r>
                  <w:r>
                    <w:rPr>
                      <w:rFonts w:ascii="仿宋_GB2312" w:hAnsi="仿宋_GB2312" w:cs="仿宋_GB2312" w:eastAsia="仿宋_GB2312"/>
                      <w:sz w:val="24"/>
                      <w:color w:val="000000"/>
                    </w:rPr>
                    <w:t>[2026]3号</w:t>
                  </w:r>
                </w:p>
                <w:p>
                  <w:pPr>
                    <w:pStyle w:val="null3"/>
                    <w:jc w:val="both"/>
                  </w:pPr>
                  <w:r>
                    <w:rPr>
                      <w:rFonts w:ascii="仿宋_GB2312" w:hAnsi="仿宋_GB2312" w:cs="仿宋_GB2312" w:eastAsia="仿宋_GB2312"/>
                      <w:sz w:val="24"/>
                      <w:color w:val="000000"/>
                    </w:rPr>
                    <w:t>辅助软件要求：</w:t>
                  </w:r>
                </w:p>
                <w:p>
                  <w:pPr>
                    <w:pStyle w:val="null3"/>
                    <w:ind w:firstLine="480"/>
                    <w:jc w:val="left"/>
                  </w:pPr>
                  <w:r>
                    <w:rPr>
                      <w:rFonts w:ascii="仿宋_GB2312" w:hAnsi="仿宋_GB2312" w:cs="仿宋_GB2312" w:eastAsia="仿宋_GB2312"/>
                      <w:sz w:val="24"/>
                      <w:color w:val="000000"/>
                    </w:rPr>
                    <w:t>全院民商案件电子卷宗随案同步生成及刑事、执行案件的档案数字化工作。按照无纸化办案标准，对全院民商事案件的全流程纸质卷宗进行随案同步生成电子卷宗</w:t>
                  </w:r>
                  <w:r>
                    <w:rPr>
                      <w:rFonts w:ascii="仿宋_GB2312" w:hAnsi="仿宋_GB2312" w:cs="仿宋_GB2312" w:eastAsia="仿宋_GB2312"/>
                      <w:sz w:val="24"/>
                      <w:color w:val="000000"/>
                    </w:rPr>
                    <w:t>;对全院执行、刑事案件结案后的档案材料进行数字化并整卷归档。</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color w:val="000000"/>
              </w:rPr>
              <w:t>采购预算：</w:t>
            </w:r>
          </w:p>
          <w:p>
            <w:pPr>
              <w:pStyle w:val="null3"/>
              <w:jc w:val="both"/>
            </w:pPr>
            <w:r>
              <w:rPr>
                <w:rFonts w:ascii="仿宋_GB2312" w:hAnsi="仿宋_GB2312" w:cs="仿宋_GB2312" w:eastAsia="仿宋_GB2312"/>
                <w:sz w:val="24"/>
                <w:b/>
                <w:color w:val="000000"/>
              </w:rPr>
              <w:t>采购总预算：</w:t>
            </w:r>
            <w:r>
              <w:rPr>
                <w:rFonts w:ascii="仿宋_GB2312" w:hAnsi="仿宋_GB2312" w:cs="仿宋_GB2312" w:eastAsia="仿宋_GB2312"/>
                <w:sz w:val="24"/>
                <w:color w:val="000000"/>
              </w:rPr>
              <w:t>人民币</w:t>
            </w:r>
            <w:r>
              <w:rPr>
                <w:rFonts w:ascii="仿宋_GB2312" w:hAnsi="仿宋_GB2312" w:cs="仿宋_GB2312" w:eastAsia="仿宋_GB2312"/>
                <w:sz w:val="24"/>
                <w:color w:val="000000"/>
                <w:u w:val="single"/>
              </w:rPr>
              <w:t>壹佰叁拾万零贰仟叁佰元整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1,302,300.00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民商事案件电子卷宗综合单价预算</w:t>
            </w:r>
            <w:r>
              <w:rPr>
                <w:rFonts w:ascii="仿宋_GB2312" w:hAnsi="仿宋_GB2312" w:cs="仿宋_GB2312" w:eastAsia="仿宋_GB2312"/>
                <w:sz w:val="24"/>
                <w:color w:val="000000"/>
              </w:rPr>
              <w:t>：</w:t>
            </w:r>
            <w:r>
              <w:rPr>
                <w:rFonts w:ascii="仿宋_GB2312" w:hAnsi="仿宋_GB2312" w:cs="仿宋_GB2312" w:eastAsia="仿宋_GB2312"/>
                <w:sz w:val="24"/>
                <w:color w:val="000000"/>
              </w:rPr>
              <w:t>¥65</w:t>
            </w:r>
            <w:r>
              <w:rPr>
                <w:rFonts w:ascii="仿宋_GB2312" w:hAnsi="仿宋_GB2312" w:cs="仿宋_GB2312" w:eastAsia="仿宋_GB2312"/>
                <w:sz w:val="24"/>
                <w:color w:val="000000"/>
              </w:rPr>
              <w:t>.00</w:t>
            </w:r>
            <w:r>
              <w:rPr>
                <w:rFonts w:ascii="仿宋_GB2312" w:hAnsi="仿宋_GB2312" w:cs="仿宋_GB2312" w:eastAsia="仿宋_GB2312"/>
                <w:sz w:val="24"/>
                <w:color w:val="000000"/>
              </w:rPr>
              <w:t>/</w:t>
            </w:r>
            <w:r>
              <w:rPr>
                <w:rFonts w:ascii="仿宋_GB2312" w:hAnsi="仿宋_GB2312" w:cs="仿宋_GB2312" w:eastAsia="仿宋_GB2312"/>
                <w:sz w:val="24"/>
                <w:color w:val="000000"/>
              </w:rPr>
              <w:t>案</w:t>
            </w:r>
          </w:p>
          <w:p>
            <w:pPr>
              <w:pStyle w:val="null3"/>
              <w:jc w:val="left"/>
            </w:pPr>
            <w:r>
              <w:rPr>
                <w:rFonts w:ascii="仿宋_GB2312" w:hAnsi="仿宋_GB2312" w:cs="仿宋_GB2312" w:eastAsia="仿宋_GB2312"/>
                <w:sz w:val="24"/>
                <w:b/>
                <w:color w:val="000000"/>
              </w:rPr>
              <w:t>刑事和执行案件电子卷宗综合单价预算</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0.45</w:t>
            </w:r>
            <w:r>
              <w:rPr>
                <w:rFonts w:ascii="仿宋_GB2312" w:hAnsi="仿宋_GB2312" w:cs="仿宋_GB2312" w:eastAsia="仿宋_GB2312"/>
                <w:sz w:val="24"/>
                <w:color w:val="000000"/>
              </w:rPr>
              <w:t>/</w:t>
            </w:r>
            <w:r>
              <w:rPr>
                <w:rFonts w:ascii="仿宋_GB2312" w:hAnsi="仿宋_GB2312" w:cs="仿宋_GB2312" w:eastAsia="仿宋_GB2312"/>
                <w:sz w:val="24"/>
                <w:color w:val="000000"/>
              </w:rPr>
              <w:t>页</w:t>
            </w:r>
          </w:p>
          <w:p>
            <w:pPr>
              <w:pStyle w:val="null3"/>
            </w:pPr>
            <w:r>
              <w:rPr>
                <w:rFonts w:ascii="仿宋_GB2312" w:hAnsi="仿宋_GB2312" w:cs="仿宋_GB2312" w:eastAsia="仿宋_GB2312"/>
                <w:sz w:val="24"/>
                <w:color w:val="000000"/>
              </w:rPr>
              <w:t>磋商</w:t>
            </w:r>
            <w:r>
              <w:rPr>
                <w:rFonts w:ascii="仿宋_GB2312" w:hAnsi="仿宋_GB2312" w:cs="仿宋_GB2312" w:eastAsia="仿宋_GB2312"/>
                <w:sz w:val="24"/>
                <w:color w:val="000000"/>
              </w:rPr>
              <w:t>总报价</w:t>
            </w:r>
            <w:r>
              <w:rPr>
                <w:rFonts w:ascii="仿宋_GB2312" w:hAnsi="仿宋_GB2312" w:cs="仿宋_GB2312" w:eastAsia="仿宋_GB2312"/>
                <w:sz w:val="24"/>
                <w:color w:val="000000"/>
              </w:rPr>
              <w:t>、</w:t>
            </w:r>
            <w:r>
              <w:rPr>
                <w:rFonts w:ascii="仿宋_GB2312" w:hAnsi="仿宋_GB2312" w:cs="仿宋_GB2312" w:eastAsia="仿宋_GB2312"/>
                <w:sz w:val="24"/>
                <w:color w:val="000000"/>
              </w:rPr>
              <w:t>磋商</w:t>
            </w:r>
            <w:r>
              <w:rPr>
                <w:rFonts w:ascii="仿宋_GB2312" w:hAnsi="仿宋_GB2312" w:cs="仿宋_GB2312" w:eastAsia="仿宋_GB2312"/>
                <w:sz w:val="24"/>
              </w:rPr>
              <w:t>综合单价</w:t>
            </w:r>
            <w:r>
              <w:rPr>
                <w:rFonts w:ascii="仿宋_GB2312" w:hAnsi="仿宋_GB2312" w:cs="仿宋_GB2312" w:eastAsia="仿宋_GB2312"/>
                <w:sz w:val="24"/>
                <w:color w:val="000000"/>
              </w:rPr>
              <w:t>高于竞争性磋商文件公布的</w:t>
            </w:r>
            <w:r>
              <w:rPr>
                <w:rFonts w:ascii="仿宋_GB2312" w:hAnsi="仿宋_GB2312" w:cs="仿宋_GB2312" w:eastAsia="仿宋_GB2312"/>
                <w:sz w:val="24"/>
                <w:color w:val="000000"/>
              </w:rPr>
              <w:t>采购总预算或磋商</w:t>
            </w:r>
            <w:r>
              <w:rPr>
                <w:rFonts w:ascii="仿宋_GB2312" w:hAnsi="仿宋_GB2312" w:cs="仿宋_GB2312" w:eastAsia="仿宋_GB2312"/>
                <w:sz w:val="24"/>
              </w:rPr>
              <w:t>综合单价</w:t>
            </w:r>
            <w:r>
              <w:rPr>
                <w:rFonts w:ascii="仿宋_GB2312" w:hAnsi="仿宋_GB2312" w:cs="仿宋_GB2312" w:eastAsia="仿宋_GB2312"/>
                <w:sz w:val="24"/>
                <w:color w:val="000000"/>
              </w:rPr>
              <w:t>的将被视为无效</w:t>
            </w:r>
            <w:r>
              <w:rPr>
                <w:rFonts w:ascii="仿宋_GB2312" w:hAnsi="仿宋_GB2312" w:cs="仿宋_GB2312" w:eastAsia="仿宋_GB2312"/>
                <w:sz w:val="24"/>
                <w:color w:val="000000"/>
              </w:rPr>
              <w:t>报价。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b/>
              </w:rPr>
              <w:t>采购数量：</w:t>
            </w:r>
          </w:p>
          <w:p>
            <w:pPr>
              <w:pStyle w:val="null3"/>
            </w:pPr>
            <w:r>
              <w:rPr>
                <w:rFonts w:ascii="仿宋_GB2312" w:hAnsi="仿宋_GB2312" w:cs="仿宋_GB2312" w:eastAsia="仿宋_GB2312"/>
                <w:sz w:val="24"/>
                <w:b/>
                <w:color w:val="000000"/>
              </w:rPr>
              <w:t>民商事案件：</w:t>
            </w:r>
            <w:r>
              <w:rPr>
                <w:rFonts w:ascii="仿宋_GB2312" w:hAnsi="仿宋_GB2312" w:cs="仿宋_GB2312" w:eastAsia="仿宋_GB2312"/>
                <w:sz w:val="24"/>
                <w:b/>
                <w:color w:val="000000"/>
              </w:rPr>
              <w:t>约</w:t>
            </w:r>
            <w:r>
              <w:rPr>
                <w:rFonts w:ascii="仿宋_GB2312" w:hAnsi="仿宋_GB2312" w:cs="仿宋_GB2312" w:eastAsia="仿宋_GB2312"/>
                <w:sz w:val="24"/>
                <w:color w:val="000000"/>
              </w:rPr>
              <w:t>17250案</w:t>
            </w:r>
          </w:p>
          <w:p>
            <w:pPr>
              <w:pStyle w:val="null3"/>
            </w:pPr>
            <w:r>
              <w:rPr>
                <w:rFonts w:ascii="仿宋_GB2312" w:hAnsi="仿宋_GB2312" w:cs="仿宋_GB2312" w:eastAsia="仿宋_GB2312"/>
                <w:sz w:val="24"/>
                <w:b/>
                <w:color w:val="000000"/>
              </w:rPr>
              <w:t>刑事和执行案件：约</w:t>
            </w:r>
            <w:r>
              <w:rPr>
                <w:rFonts w:ascii="仿宋_GB2312" w:hAnsi="仿宋_GB2312" w:cs="仿宋_GB2312" w:eastAsia="仿宋_GB2312"/>
                <w:sz w:val="24"/>
                <w:color w:val="000000"/>
              </w:rPr>
              <w:t>5750案，70页/案</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结算：</w:t>
            </w:r>
            <w:r>
              <w:rPr>
                <w:rFonts w:ascii="仿宋_GB2312" w:hAnsi="仿宋_GB2312" w:cs="仿宋_GB2312" w:eastAsia="仿宋_GB2312"/>
                <w:sz w:val="24"/>
                <w:color w:val="000000"/>
              </w:rPr>
              <w:t>根据实际完成数量及成交综合单价据实结算。</w:t>
            </w:r>
          </w:p>
          <w:p>
            <w:pPr>
              <w:pStyle w:val="null3"/>
            </w:pPr>
            <w:r>
              <w:rPr>
                <w:rFonts w:ascii="仿宋_GB2312" w:hAnsi="仿宋_GB2312" w:cs="仿宋_GB2312" w:eastAsia="仿宋_GB2312"/>
                <w:sz w:val="24"/>
              </w:rPr>
              <w:t>民商事案件电子卷宗成交综合单价</w:t>
            </w:r>
            <w:r>
              <w:rPr>
                <w:rFonts w:ascii="仿宋_GB2312" w:hAnsi="仿宋_GB2312" w:cs="仿宋_GB2312" w:eastAsia="仿宋_GB2312"/>
                <w:sz w:val="24"/>
                <w:color w:val="000000"/>
              </w:rPr>
              <w:t>×实际完成案件数</w:t>
            </w:r>
            <w:r>
              <w:rPr>
                <w:rFonts w:ascii="仿宋_GB2312" w:hAnsi="仿宋_GB2312" w:cs="仿宋_GB2312" w:eastAsia="仿宋_GB2312"/>
                <w:sz w:val="24"/>
              </w:rPr>
              <w:t>＋</w:t>
            </w:r>
            <w:r>
              <w:rPr>
                <w:rFonts w:ascii="仿宋_GB2312" w:hAnsi="仿宋_GB2312" w:cs="仿宋_GB2312" w:eastAsia="仿宋_GB2312"/>
                <w:sz w:val="24"/>
              </w:rPr>
              <w:t>刑事和执行案件电子卷宗成交综合单价</w:t>
            </w:r>
            <w:r>
              <w:rPr>
                <w:rFonts w:ascii="仿宋_GB2312" w:hAnsi="仿宋_GB2312" w:cs="仿宋_GB2312" w:eastAsia="仿宋_GB2312"/>
                <w:sz w:val="24"/>
                <w:color w:val="000000"/>
              </w:rPr>
              <w:t>×</w:t>
            </w:r>
            <w:r>
              <w:rPr>
                <w:rFonts w:ascii="仿宋_GB2312" w:hAnsi="仿宋_GB2312" w:cs="仿宋_GB2312" w:eastAsia="仿宋_GB2312"/>
                <w:sz w:val="24"/>
              </w:rPr>
              <w:t>实际完成页数。</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付款条件及比例：</w:t>
            </w:r>
            <w:r>
              <w:rPr>
                <w:rFonts w:ascii="仿宋_GB2312" w:hAnsi="仿宋_GB2312" w:cs="仿宋_GB2312" w:eastAsia="仿宋_GB2312"/>
                <w:sz w:val="24"/>
              </w:rPr>
              <w:t>合同签订后，支付合同总金额的</w:t>
            </w:r>
            <w:r>
              <w:rPr>
                <w:rFonts w:ascii="仿宋_GB2312" w:hAnsi="仿宋_GB2312" w:cs="仿宋_GB2312" w:eastAsia="仿宋_GB2312"/>
                <w:sz w:val="24"/>
              </w:rPr>
              <w:t>30</w:t>
            </w:r>
            <w:r>
              <w:rPr>
                <w:rFonts w:ascii="仿宋_GB2312" w:hAnsi="仿宋_GB2312" w:cs="仿宋_GB2312" w:eastAsia="仿宋_GB2312"/>
                <w:sz w:val="24"/>
              </w:rPr>
              <w:t>.00%</w:t>
            </w:r>
            <w:r>
              <w:rPr>
                <w:rFonts w:ascii="仿宋_GB2312" w:hAnsi="仿宋_GB2312" w:cs="仿宋_GB2312" w:eastAsia="仿宋_GB2312"/>
                <w:sz w:val="24"/>
              </w:rPr>
              <w:t>，</w:t>
            </w:r>
            <w:r>
              <w:rPr>
                <w:rFonts w:ascii="仿宋_GB2312" w:hAnsi="仿宋_GB2312" w:cs="仿宋_GB2312" w:eastAsia="仿宋_GB2312"/>
                <w:sz w:val="24"/>
              </w:rPr>
              <w:t>后续</w:t>
            </w:r>
            <w:r>
              <w:rPr>
                <w:rFonts w:ascii="仿宋_GB2312" w:hAnsi="仿宋_GB2312" w:cs="仿宋_GB2312" w:eastAsia="仿宋_GB2312"/>
                <w:sz w:val="24"/>
              </w:rPr>
              <w:t>按三个月一次据实结算，最后根据前期支付情况及本章</w:t>
            </w:r>
            <w:r>
              <w:rPr>
                <w:rFonts w:ascii="仿宋_GB2312" w:hAnsi="仿宋_GB2312" w:cs="仿宋_GB2312" w:eastAsia="仿宋_GB2312"/>
                <w:sz w:val="24"/>
              </w:rPr>
              <w:t>3.3.1服务期限约定按实际结算。</w:t>
            </w:r>
          </w:p>
          <w:p>
            <w:pPr>
              <w:pStyle w:val="null3"/>
            </w:pPr>
            <w:r>
              <w:rPr>
                <w:rFonts w:ascii="仿宋_GB2312" w:hAnsi="仿宋_GB2312" w:cs="仿宋_GB2312" w:eastAsia="仿宋_GB2312"/>
                <w:sz w:val="24"/>
                <w:b/>
              </w:rPr>
              <w:t>注：本章第</w:t>
            </w:r>
            <w:r>
              <w:rPr>
                <w:rFonts w:ascii="仿宋_GB2312" w:hAnsi="仿宋_GB2312" w:cs="仿宋_GB2312" w:eastAsia="仿宋_GB2312"/>
                <w:sz w:val="24"/>
                <w:b/>
              </w:rPr>
              <w:t>3.3.5</w:t>
            </w:r>
            <w:r>
              <w:rPr>
                <w:rFonts w:ascii="仿宋_GB2312" w:hAnsi="仿宋_GB2312" w:cs="仿宋_GB2312" w:eastAsia="仿宋_GB2312"/>
                <w:sz w:val="24"/>
                <w:b/>
              </w:rPr>
              <w:t>为系统生成无法更改，付款按本条执行。</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一年或采购总预算支付完毕止。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预付款，甲方指定地点，达到付款条件起30个工作日内，支付合同总金额的30.0%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进度款，服务期执行6个月后据实结算，达到付款条件起30个工作日内，支付合同总金额的23.33%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进度款，服务期执行9个月后据实结算，达到付款条件起30个工作日内，支付合同总金额的23.33%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进度款，服务期执行12个月后据实结算，达到付款条件起30个工作日内，支付合同总金额的23.34%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中小企业预留政策</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 xml:space="preserve"> 要求全面响应，不能有任何采购人不能接受的附加条件</w:t>
            </w:r>
          </w:p>
        </w:tc>
        <w:tc>
          <w:tcPr>
            <w:tcW w:type="dxa" w:w="1661"/>
          </w:tcPr>
          <w:p>
            <w:pPr>
              <w:pStyle w:val="null3"/>
            </w:pPr>
            <w:r>
              <w:rPr>
                <w:rFonts w:ascii="仿宋_GB2312" w:hAnsi="仿宋_GB2312" w:cs="仿宋_GB2312" w:eastAsia="仿宋_GB2312"/>
              </w:rPr>
              <w:t>响应文件封面 技术方案.docx 分项报价表.docx 中小企业声明函 残疾人福利性单位声明函 标的清单 报价表 响应函 陕西省政府采购供应商拒绝政府采购领域商业贿赂承诺书.docx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结算</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服务时限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供应商对本项目的项目理解与重难点分析，包括但不限于本次项目工作的①服务目标、②服务内容、③服务重点、④服务难点、⑤重难点解决方案）等进行描述。 以上内容完整、不存在瑕疵，得10分；每缺一项扣2分，每存在一处瑕疵的扣0.5分，扣完为止。 “瑕疵”是指：内容不详细具体、条理不清晰、描述过于简单、与项目特点不匹配、凭空编造、逻辑漏洞、常识性错误、不可能实现的夸大情形、存在不适用项目实际情况的情形等其中的任意一种情形。（下同）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供应商对本项目的①项目目标、②“一张网”系统下的工作流程、③服务能力与承诺、④进度计划表、⑤相应的进度保障措施等进行描述。 以上内容完整、不存在瑕疵，得10分；每缺一项扣2分，每存在一处瑕疵的扣0.5分，扣完为止。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针对本项目提供质量保障措施。包括但不限于①质量控制措施、②质量保障措施。以上内容完整、不存在瑕疵，且满足项目实际情况，切实可行，得10分；每缺一项扣5分，每存在一处瑕疵的扣0.5分，扣完为止。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设备器械、工具及消耗品配备情况</w:t>
            </w:r>
          </w:p>
        </w:tc>
        <w:tc>
          <w:tcPr>
            <w:tcW w:type="dxa" w:w="2492"/>
          </w:tcPr>
          <w:p>
            <w:pPr>
              <w:pStyle w:val="null3"/>
            </w:pPr>
            <w:r>
              <w:rPr>
                <w:rFonts w:ascii="仿宋_GB2312" w:hAnsi="仿宋_GB2312" w:cs="仿宋_GB2312" w:eastAsia="仿宋_GB2312"/>
              </w:rPr>
              <w:t>1.针对本项目配备的设备器械情况综合赋分。 提供详细设备列表和耗材配备情况，设备与消耗品齐全、先进、数量充足，得3分，配备数量或先进性不足，得1分，未提供不得分。 2.提供卷宗流转存储与管理详细方案。 方案详细合理、提供智能流转设备，得3分；方案提供了管理能力和流转设备，得，1分；未提供不得分。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保密、安全保证措施</w:t>
            </w:r>
          </w:p>
        </w:tc>
        <w:tc>
          <w:tcPr>
            <w:tcW w:type="dxa" w:w="2492"/>
          </w:tcPr>
          <w:p>
            <w:pPr>
              <w:pStyle w:val="null3"/>
            </w:pPr>
            <w:r>
              <w:rPr>
                <w:rFonts w:ascii="仿宋_GB2312" w:hAnsi="仿宋_GB2312" w:cs="仿宋_GB2312" w:eastAsia="仿宋_GB2312"/>
              </w:rPr>
              <w:t>供应商针对本项目采购内容及实际情况，提供保密、安全保证措施，包括但不限于①卷宗实体和卷宗信息保密以及安全保证方案，②提供详细档案保护管理制度、操作规范。 以上内容完整、不存在瑕疵，得6分；每缺一项扣3分，每存在一处瑕疵的扣0.5分，扣完为止。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供应商对本项目的①项目人员组成及管理方式②项目服务人员拟派方案③项目拟派人员岗位分工等进行描述。 以上内容完整、齐全、不存在瑕疵，得5分；每存在一处瑕疵的扣0.5分，扣完为止。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供应商为本项目投入的服务团队人员均需提供档案岗位培训证书复印件并加盖供应商公章，人员数量大于等于15人，得3分，每多提供1个人员加1分，最多加2分。小于15人不得分，未提供不得分。 注：所有人员均需提供2025年5月至今本单位为其缴纳的任意连续3个月的社保证明材料，否则不得分。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供应商对本项目的人员培训方案（包括但不限于本次项目工作的①培训计划、②培训方法、③培训内容、④岗位技能等进行描述。 以上内容完整、不存在瑕疵，得10分；每缺一项扣2.5分，每存在一处瑕疵的扣0.5分，扣完为止。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供应商对本项目的①售后服务承诺、②售后服务人员、③售后响应时限、④售后服务流程等进行描述。 以上内容完整、不存在瑕疵，得10分；每缺一项扣2.5分，每存在一处瑕疵的扣0.5分，扣完为止。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其他服务承诺及合理化建议</w:t>
            </w:r>
          </w:p>
        </w:tc>
        <w:tc>
          <w:tcPr>
            <w:tcW w:type="dxa" w:w="2492"/>
          </w:tcPr>
          <w:p>
            <w:pPr>
              <w:pStyle w:val="null3"/>
            </w:pPr>
            <w:r>
              <w:rPr>
                <w:rFonts w:ascii="仿宋_GB2312" w:hAnsi="仿宋_GB2312" w:cs="仿宋_GB2312" w:eastAsia="仿宋_GB2312"/>
              </w:rPr>
              <w:t>根据供应商可为采购人提供的其他相关服务内容、服务承诺及合理化建议赋分。 服务内容、服务承诺及合理化建议具体详细，与项目匹配度高且可行性高，得6分； 服务内容、服务承诺及合理化建议较详细，对项目开展有一定实际意义，但存在不完善的地方的，得3分；未提供不得分。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针对本项目实际情况，在服务过程中可能出现的突发事件，提供详细的应急预案措施和解决方案，包含但不限于受理方法、处理流程、响应时间等内容。 以上内容完整、全面细致、科学合理，能够满足项目实际需求得6分；每存在一处瑕疵的扣0.5分，扣完为止。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1.供应商具有质量体系认证证书、职业健康安全管理体系认证证书、信息安全管理体系认证证书，每提供一项得0.5分、满分1.5分； 2.供应商具有档案产品与服务类企业认证证书-档案数字化加工服务类、档案产品与服务类企业认证证书-计算机档案管理软件类，每提供一项得0.5分、满分1分； 3、供应商具有国家保密局颁发的涉密档案数字化加工的“国家秘密载体印制资质证书”得0.5分。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供应商提供自2023年1月1日起至（以合同签订时间为准）承担过的类似服务项目业绩。以合同为准，每提供1个得1分，最高得3分。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（4）磋商小组基于专业判断，认为供应商报价过低，有可能影响产品质量或者不能诚信履约的其他情形。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