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29AE0">
      <w:pPr>
        <w:pStyle w:val="2"/>
        <w:numPr>
          <w:ilvl w:val="0"/>
          <w:numId w:val="0"/>
        </w:numPr>
        <w:spacing w:before="240" w:beforeLines="100" w:after="240" w:afterLines="100"/>
        <w:jc w:val="center"/>
        <w:rPr>
          <w:rFonts w:hint="eastAsia" w:ascii="宋体" w:hAnsi="宋体" w:eastAsia="宋体" w:cs="宋体"/>
          <w:bCs/>
          <w:sz w:val="36"/>
          <w:szCs w:val="36"/>
          <w:highlight w:val="none"/>
        </w:rPr>
      </w:pPr>
      <w:bookmarkStart w:id="0" w:name="_Toc31673"/>
      <w:bookmarkStart w:id="1" w:name="_Toc18545"/>
      <w:r>
        <w:rPr>
          <w:rFonts w:hint="eastAsia" w:ascii="宋体" w:hAnsi="宋体" w:eastAsia="宋体" w:cs="宋体"/>
          <w:bCs/>
          <w:sz w:val="36"/>
          <w:szCs w:val="36"/>
          <w:highlight w:val="none"/>
        </w:rPr>
        <w:t>合同条款及格式</w:t>
      </w:r>
      <w:bookmarkEnd w:id="0"/>
      <w:bookmarkEnd w:id="1"/>
    </w:p>
    <w:p w14:paraId="5272C0E2">
      <w:pPr>
        <w:spacing w:line="360" w:lineRule="auto"/>
        <w:jc w:val="left"/>
        <w:rPr>
          <w:rFonts w:hint="eastAsia" w:ascii="宋体" w:hAnsi="宋体" w:eastAsia="宋体" w:cs="宋体"/>
          <w:b/>
          <w:szCs w:val="24"/>
          <w:highlight w:val="none"/>
        </w:rPr>
      </w:pPr>
    </w:p>
    <w:p w14:paraId="2300DB6B">
      <w:pPr>
        <w:jc w:val="center"/>
        <w:rPr>
          <w:rFonts w:hint="eastAsia" w:ascii="宋体" w:hAnsi="宋体" w:eastAsia="宋体" w:cs="宋体"/>
          <w:b/>
          <w:bCs/>
          <w:sz w:val="44"/>
          <w:szCs w:val="44"/>
          <w:highlight w:val="none"/>
          <w:lang w:val="en-US" w:eastAsia="zh-CN"/>
        </w:rPr>
      </w:pPr>
    </w:p>
    <w:p w14:paraId="1D4D46AD">
      <w:pPr>
        <w:jc w:val="center"/>
        <w:rPr>
          <w:rFonts w:hint="eastAsia" w:ascii="宋体" w:hAnsi="宋体" w:eastAsia="宋体" w:cs="宋体"/>
          <w:b/>
          <w:bCs/>
          <w:sz w:val="44"/>
          <w:szCs w:val="44"/>
          <w:highlight w:val="none"/>
          <w:lang w:val="en-US" w:eastAsia="zh-CN"/>
        </w:rPr>
      </w:pPr>
    </w:p>
    <w:p w14:paraId="431B3FD8">
      <w:pPr>
        <w:jc w:val="center"/>
        <w:rPr>
          <w:rFonts w:hint="eastAsia" w:ascii="宋体" w:hAnsi="宋体" w:eastAsia="宋体" w:cs="宋体"/>
          <w:b/>
          <w:bCs/>
          <w:sz w:val="44"/>
          <w:szCs w:val="44"/>
          <w:highlight w:val="none"/>
          <w:lang w:val="en-US" w:eastAsia="zh-CN"/>
        </w:rPr>
      </w:pPr>
    </w:p>
    <w:p w14:paraId="0FFEA9D8">
      <w:pPr>
        <w:jc w:val="center"/>
        <w:rPr>
          <w:rFonts w:hint="eastAsia" w:ascii="宋体" w:hAnsi="宋体" w:eastAsia="宋体" w:cs="宋体"/>
          <w:b/>
          <w:bCs/>
          <w:sz w:val="44"/>
          <w:szCs w:val="44"/>
          <w:highlight w:val="none"/>
          <w:lang w:eastAsia="zh-CN"/>
        </w:rPr>
      </w:pPr>
      <w:r>
        <w:rPr>
          <w:rFonts w:hint="eastAsia" w:hAnsi="宋体" w:cs="宋体"/>
          <w:b/>
          <w:bCs/>
          <w:sz w:val="44"/>
          <w:szCs w:val="44"/>
          <w:highlight w:val="none"/>
          <w:lang w:val="en-US" w:eastAsia="zh-CN"/>
        </w:rPr>
        <w:t>档案整理及电子化扫描</w:t>
      </w:r>
    </w:p>
    <w:p w14:paraId="3DAAB693">
      <w:pPr>
        <w:rPr>
          <w:rFonts w:hint="eastAsia" w:ascii="宋体" w:hAnsi="宋体" w:eastAsia="宋体" w:cs="宋体"/>
          <w:highlight w:val="none"/>
        </w:rPr>
      </w:pPr>
    </w:p>
    <w:p w14:paraId="402B9BF0">
      <w:pPr>
        <w:bidi w:val="0"/>
        <w:jc w:val="both"/>
        <w:rPr>
          <w:rFonts w:hint="eastAsia" w:ascii="宋体" w:hAnsi="宋体" w:eastAsia="宋体" w:cs="宋体"/>
          <w:b/>
          <w:bCs/>
          <w:sz w:val="40"/>
          <w:szCs w:val="40"/>
          <w:highlight w:val="none"/>
          <w:lang w:val="en-US" w:eastAsia="zh-CN"/>
        </w:rPr>
      </w:pPr>
    </w:p>
    <w:p w14:paraId="528DD61F">
      <w:pPr>
        <w:rPr>
          <w:rFonts w:hint="eastAsia" w:ascii="宋体" w:hAnsi="宋体" w:eastAsia="宋体" w:cs="宋体"/>
          <w:highlight w:val="none"/>
        </w:rPr>
      </w:pPr>
    </w:p>
    <w:p w14:paraId="15DB34E3">
      <w:pPr>
        <w:pStyle w:val="5"/>
        <w:rPr>
          <w:rFonts w:hint="eastAsia" w:ascii="宋体" w:hAnsi="宋体" w:eastAsia="宋体" w:cs="宋体"/>
          <w:highlight w:val="none"/>
        </w:rPr>
      </w:pPr>
    </w:p>
    <w:p w14:paraId="503E32FE">
      <w:pPr>
        <w:pStyle w:val="5"/>
        <w:rPr>
          <w:rFonts w:hint="eastAsia" w:ascii="宋体" w:hAnsi="宋体" w:eastAsia="宋体" w:cs="宋体"/>
          <w:b/>
          <w:bCs/>
          <w:sz w:val="24"/>
          <w:szCs w:val="24"/>
          <w:highlight w:val="none"/>
          <w:lang w:val="en-US" w:eastAsia="zh-CN"/>
        </w:rPr>
      </w:pPr>
    </w:p>
    <w:p w14:paraId="5902D9D6">
      <w:pPr>
        <w:pStyle w:val="5"/>
        <w:rPr>
          <w:rFonts w:hint="eastAsia" w:ascii="宋体" w:hAnsi="宋体" w:eastAsia="宋体" w:cs="宋体"/>
          <w:b/>
          <w:bCs/>
          <w:sz w:val="24"/>
          <w:szCs w:val="24"/>
          <w:highlight w:val="none"/>
          <w:lang w:val="en-US" w:eastAsia="zh-CN"/>
        </w:rPr>
      </w:pPr>
    </w:p>
    <w:p w14:paraId="7ABEFEA1">
      <w:pPr>
        <w:pStyle w:val="5"/>
        <w:rPr>
          <w:rFonts w:hint="eastAsia" w:ascii="宋体" w:hAnsi="宋体" w:eastAsia="宋体" w:cs="宋体"/>
          <w:b/>
          <w:bCs/>
          <w:sz w:val="24"/>
          <w:szCs w:val="24"/>
          <w:highlight w:val="none"/>
          <w:lang w:val="en-US" w:eastAsia="zh-CN"/>
        </w:rPr>
      </w:pPr>
    </w:p>
    <w:p w14:paraId="3A101B5B">
      <w:pPr>
        <w:pStyle w:val="5"/>
        <w:rPr>
          <w:rFonts w:hint="eastAsia" w:ascii="宋体" w:hAnsi="宋体" w:eastAsia="宋体" w:cs="宋体"/>
          <w:b/>
          <w:bCs/>
          <w:sz w:val="24"/>
          <w:szCs w:val="24"/>
          <w:highlight w:val="none"/>
          <w:lang w:val="en-US" w:eastAsia="zh-CN"/>
        </w:rPr>
      </w:pPr>
    </w:p>
    <w:p w14:paraId="4B22B354">
      <w:pPr>
        <w:pStyle w:val="5"/>
        <w:rPr>
          <w:rFonts w:hint="eastAsia" w:ascii="宋体" w:hAnsi="宋体" w:eastAsia="宋体" w:cs="宋体"/>
          <w:b/>
          <w:bCs/>
          <w:sz w:val="24"/>
          <w:szCs w:val="24"/>
          <w:highlight w:val="none"/>
          <w:lang w:val="en-US" w:eastAsia="zh-CN"/>
        </w:rPr>
      </w:pPr>
    </w:p>
    <w:p w14:paraId="00C9D04B">
      <w:pPr>
        <w:pStyle w:val="5"/>
        <w:rPr>
          <w:rFonts w:hint="eastAsia" w:ascii="宋体" w:hAnsi="宋体" w:eastAsia="宋体" w:cs="宋体"/>
          <w:b/>
          <w:bCs/>
          <w:sz w:val="24"/>
          <w:szCs w:val="24"/>
          <w:highlight w:val="none"/>
          <w:lang w:val="en-US" w:eastAsia="zh-CN"/>
        </w:rPr>
      </w:pPr>
    </w:p>
    <w:p w14:paraId="7B660E99">
      <w:pPr>
        <w:pStyle w:val="5"/>
        <w:rPr>
          <w:rFonts w:hint="eastAsia" w:ascii="宋体" w:hAnsi="宋体" w:eastAsia="宋体" w:cs="宋体"/>
          <w:highlight w:val="none"/>
        </w:rPr>
      </w:pPr>
    </w:p>
    <w:p w14:paraId="58ADC73B">
      <w:pPr>
        <w:snapToGrid w:val="0"/>
        <w:spacing w:line="360" w:lineRule="auto"/>
        <w:rPr>
          <w:rFonts w:hint="eastAsia" w:ascii="宋体" w:hAnsi="宋体" w:eastAsia="宋体" w:cs="宋体"/>
          <w:sz w:val="24"/>
          <w:highlight w:val="none"/>
        </w:rPr>
      </w:pPr>
    </w:p>
    <w:p w14:paraId="4DEF70CE">
      <w:pPr>
        <w:snapToGrid w:val="0"/>
        <w:spacing w:line="480" w:lineRule="auto"/>
        <w:ind w:firstLine="2530" w:firstLineChars="900"/>
        <w:jc w:val="both"/>
        <w:rPr>
          <w:rFonts w:hint="eastAsia" w:ascii="宋体" w:hAnsi="宋体" w:eastAsia="宋体" w:cs="宋体"/>
          <w:b/>
          <w:bCs/>
          <w:sz w:val="28"/>
          <w:szCs w:val="22"/>
          <w:highlight w:val="none"/>
        </w:rPr>
      </w:pPr>
    </w:p>
    <w:p w14:paraId="478E6F28">
      <w:pPr>
        <w:snapToGrid w:val="0"/>
        <w:spacing w:line="480" w:lineRule="auto"/>
        <w:ind w:firstLine="2249" w:firstLineChars="700"/>
        <w:jc w:val="both"/>
        <w:rPr>
          <w:rFonts w:hint="default" w:ascii="宋体" w:hAnsi="宋体" w:eastAsia="宋体" w:cs="宋体"/>
          <w:b/>
          <w:bCs/>
          <w:sz w:val="32"/>
          <w:szCs w:val="24"/>
          <w:highlight w:val="none"/>
          <w:lang w:val="en-US" w:eastAsia="zh-CN"/>
        </w:rPr>
      </w:pPr>
      <w:r>
        <w:rPr>
          <w:rFonts w:hint="eastAsia" w:ascii="宋体" w:hAnsi="宋体" w:eastAsia="宋体" w:cs="宋体"/>
          <w:b/>
          <w:bCs/>
          <w:sz w:val="32"/>
          <w:szCs w:val="24"/>
          <w:highlight w:val="none"/>
        </w:rPr>
        <w:t>甲方：</w:t>
      </w:r>
      <w:r>
        <w:rPr>
          <w:rFonts w:hint="eastAsia" w:hAnsi="宋体" w:cs="宋体"/>
          <w:b/>
          <w:bCs/>
          <w:sz w:val="32"/>
          <w:szCs w:val="24"/>
          <w:highlight w:val="none"/>
          <w:u w:val="single"/>
          <w:lang w:val="en-US" w:eastAsia="zh-CN"/>
        </w:rPr>
        <w:t xml:space="preserve">                      </w:t>
      </w:r>
    </w:p>
    <w:p w14:paraId="470E88B0">
      <w:pPr>
        <w:snapToGrid w:val="0"/>
        <w:spacing w:line="480" w:lineRule="auto"/>
        <w:ind w:firstLine="2249" w:firstLineChars="700"/>
        <w:jc w:val="both"/>
        <w:rPr>
          <w:rFonts w:hint="eastAsia" w:ascii="宋体" w:hAnsi="宋体" w:eastAsia="宋体" w:cs="宋体"/>
          <w:b/>
          <w:bCs/>
          <w:sz w:val="32"/>
          <w:szCs w:val="24"/>
          <w:highlight w:val="none"/>
          <w:u w:val="single"/>
          <w:lang w:val="en-US" w:eastAsia="zh-CN"/>
        </w:rPr>
      </w:pPr>
      <w:r>
        <w:rPr>
          <w:rFonts w:hint="eastAsia" w:ascii="宋体" w:hAnsi="宋体" w:eastAsia="宋体" w:cs="宋体"/>
          <w:b/>
          <w:bCs/>
          <w:sz w:val="32"/>
          <w:szCs w:val="24"/>
          <w:highlight w:val="none"/>
        </w:rPr>
        <w:t>乙方：</w:t>
      </w:r>
      <w:r>
        <w:rPr>
          <w:rFonts w:hint="eastAsia" w:ascii="宋体" w:hAnsi="宋体" w:eastAsia="宋体" w:cs="宋体"/>
          <w:b/>
          <w:bCs/>
          <w:sz w:val="32"/>
          <w:szCs w:val="24"/>
          <w:highlight w:val="none"/>
          <w:u w:val="single"/>
          <w:lang w:val="en-US" w:eastAsia="zh-CN"/>
        </w:rPr>
        <w:t xml:space="preserve">                      </w:t>
      </w:r>
    </w:p>
    <w:p w14:paraId="155DD2C3">
      <w:pPr>
        <w:pStyle w:val="5"/>
        <w:spacing w:line="480" w:lineRule="auto"/>
        <w:ind w:left="0" w:leftChars="0" w:firstLine="0" w:firstLineChars="0"/>
        <w:jc w:val="center"/>
        <w:rPr>
          <w:rFonts w:hint="eastAsia" w:ascii="宋体" w:hAnsi="宋体" w:eastAsia="宋体" w:cs="宋体"/>
          <w:b/>
          <w:bCs/>
          <w:i w:val="0"/>
          <w:iCs w:val="0"/>
          <w:kern w:val="2"/>
          <w:sz w:val="32"/>
          <w:szCs w:val="24"/>
          <w:highlight w:val="none"/>
          <w:u w:val="none"/>
          <w:lang w:val="en-US" w:eastAsia="zh-CN" w:bidi="ar-SA"/>
        </w:rPr>
        <w:sectPr>
          <w:pgSz w:w="11906" w:h="16838"/>
          <w:pgMar w:top="1417" w:right="1417" w:bottom="1417" w:left="1417" w:header="851" w:footer="992" w:gutter="0"/>
          <w:cols w:space="720" w:num="1"/>
          <w:docGrid w:type="lines" w:linePitch="312" w:charSpace="0"/>
        </w:sectPr>
      </w:pPr>
      <w:r>
        <w:rPr>
          <w:rFonts w:hint="eastAsia" w:ascii="宋体" w:hAnsi="宋体" w:eastAsia="宋体" w:cs="宋体"/>
          <w:b/>
          <w:bCs/>
          <w:i w:val="0"/>
          <w:iCs w:val="0"/>
          <w:kern w:val="2"/>
          <w:sz w:val="32"/>
          <w:szCs w:val="24"/>
          <w:highlight w:val="none"/>
          <w:u w:val="none"/>
          <w:lang w:val="en-US" w:eastAsia="zh-CN" w:bidi="ar-SA"/>
        </w:rPr>
        <w:t>202</w:t>
      </w:r>
      <w:r>
        <w:rPr>
          <w:rFonts w:hint="eastAsia" w:ascii="宋体" w:hAnsi="宋体" w:cs="宋体"/>
          <w:b/>
          <w:bCs/>
          <w:i w:val="0"/>
          <w:iCs w:val="0"/>
          <w:kern w:val="2"/>
          <w:sz w:val="32"/>
          <w:szCs w:val="24"/>
          <w:highlight w:val="none"/>
          <w:u w:val="none"/>
          <w:lang w:val="en-US" w:eastAsia="zh-CN" w:bidi="ar-SA"/>
        </w:rPr>
        <w:t>6</w:t>
      </w:r>
      <w:r>
        <w:rPr>
          <w:rFonts w:hint="eastAsia" w:ascii="宋体" w:hAnsi="宋体" w:eastAsia="宋体" w:cs="宋体"/>
          <w:b/>
          <w:bCs/>
          <w:i w:val="0"/>
          <w:iCs w:val="0"/>
          <w:kern w:val="2"/>
          <w:sz w:val="32"/>
          <w:szCs w:val="24"/>
          <w:highlight w:val="none"/>
          <w:u w:val="none"/>
          <w:lang w:val="en-US" w:eastAsia="zh-CN" w:bidi="ar-SA"/>
        </w:rPr>
        <w:t>年</w:t>
      </w:r>
      <w:r>
        <w:rPr>
          <w:rFonts w:hint="eastAsia" w:ascii="宋体" w:hAnsi="宋体" w:eastAsia="宋体" w:cs="宋体"/>
          <w:b/>
          <w:bCs/>
          <w:i w:val="0"/>
          <w:iCs w:val="0"/>
          <w:kern w:val="2"/>
          <w:sz w:val="32"/>
          <w:szCs w:val="24"/>
          <w:highlight w:val="none"/>
          <w:u w:val="single"/>
          <w:lang w:val="en-US" w:eastAsia="zh-CN" w:bidi="ar-SA"/>
        </w:rPr>
        <w:t xml:space="preserve">   </w:t>
      </w:r>
      <w:r>
        <w:rPr>
          <w:rFonts w:hint="eastAsia" w:ascii="宋体" w:hAnsi="宋体" w:eastAsia="宋体" w:cs="宋体"/>
          <w:b/>
          <w:bCs/>
          <w:i w:val="0"/>
          <w:iCs w:val="0"/>
          <w:kern w:val="2"/>
          <w:sz w:val="32"/>
          <w:szCs w:val="24"/>
          <w:highlight w:val="none"/>
          <w:u w:val="none"/>
          <w:lang w:val="en-US" w:eastAsia="zh-CN" w:bidi="ar-SA"/>
        </w:rPr>
        <w:t>月</w:t>
      </w:r>
      <w:r>
        <w:rPr>
          <w:rFonts w:hint="eastAsia" w:ascii="宋体" w:hAnsi="宋体" w:eastAsia="宋体" w:cs="宋体"/>
          <w:b/>
          <w:bCs/>
          <w:i w:val="0"/>
          <w:iCs w:val="0"/>
          <w:kern w:val="2"/>
          <w:sz w:val="32"/>
          <w:szCs w:val="24"/>
          <w:highlight w:val="none"/>
          <w:u w:val="single"/>
          <w:lang w:val="en-US" w:eastAsia="zh-CN" w:bidi="ar-SA"/>
        </w:rPr>
        <w:t xml:space="preserve">   </w:t>
      </w:r>
      <w:r>
        <w:rPr>
          <w:rFonts w:hint="eastAsia" w:ascii="宋体" w:hAnsi="宋体" w:eastAsia="宋体" w:cs="宋体"/>
          <w:b/>
          <w:bCs/>
          <w:i w:val="0"/>
          <w:iCs w:val="0"/>
          <w:kern w:val="2"/>
          <w:sz w:val="32"/>
          <w:szCs w:val="24"/>
          <w:highlight w:val="none"/>
          <w:u w:val="none"/>
          <w:lang w:val="en-US" w:eastAsia="zh-CN" w:bidi="ar-SA"/>
        </w:rPr>
        <w:t>日</w:t>
      </w:r>
    </w:p>
    <w:p w14:paraId="5F9BA34F">
      <w:pPr>
        <w:shd w:val="clear" w:color="auto" w:fill="FFFFFF"/>
        <w:snapToGrid w:val="0"/>
        <w:spacing w:line="480" w:lineRule="auto"/>
        <w:rPr>
          <w:rFonts w:hint="eastAsia" w:ascii="仿宋_GB2312" w:hAnsi="仿宋_GB2312" w:eastAsia="仿宋_GB2312" w:cs="仿宋_GB2312"/>
          <w:sz w:val="24"/>
        </w:rPr>
      </w:pPr>
      <w:r>
        <w:rPr>
          <w:rFonts w:hint="eastAsia" w:ascii="仿宋_GB2312" w:hAnsi="仿宋_GB2312" w:eastAsia="仿宋_GB2312" w:cs="仿宋_GB2312"/>
          <w:b/>
          <w:bCs/>
          <w:sz w:val="24"/>
        </w:rPr>
        <w:t>甲方：</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bCs/>
          <w:sz w:val="24"/>
          <w:u w:val="single"/>
        </w:rPr>
        <w:t xml:space="preserve">                          </w:t>
      </w:r>
      <w:r>
        <w:rPr>
          <w:rFonts w:hint="eastAsia" w:ascii="仿宋_GB2312" w:hAnsi="仿宋_GB2312" w:eastAsia="仿宋_GB2312" w:cs="仿宋_GB2312"/>
          <w:sz w:val="24"/>
          <w:u w:val="single"/>
        </w:rPr>
        <w:t xml:space="preserve">     </w:t>
      </w:r>
    </w:p>
    <w:p w14:paraId="3C165499">
      <w:pPr>
        <w:shd w:val="clear" w:color="auto" w:fill="FFFFFF"/>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b/>
          <w:bCs/>
          <w:sz w:val="24"/>
        </w:rPr>
        <w:t>乙方：</w:t>
      </w:r>
      <w:r>
        <w:rPr>
          <w:rFonts w:hint="eastAsia" w:ascii="仿宋_GB2312" w:hAnsi="仿宋_GB2312" w:eastAsia="仿宋_GB2312" w:cs="仿宋_GB2312"/>
          <w:sz w:val="24"/>
          <w:u w:val="single"/>
        </w:rPr>
        <w:t xml:space="preserve">                                  </w:t>
      </w:r>
    </w:p>
    <w:p w14:paraId="777B4630">
      <w:pPr>
        <w:shd w:val="clear" w:color="auto" w:fill="FFFFFF"/>
        <w:snapToGrid w:val="0"/>
        <w:spacing w:line="360" w:lineRule="auto"/>
        <w:ind w:firstLine="480" w:firstLineChars="200"/>
        <w:jc w:val="left"/>
        <w:rPr>
          <w:rFonts w:hint="eastAsia" w:ascii="仿宋_GB2312" w:hAnsi="仿宋_GB2312" w:eastAsia="仿宋_GB2312" w:cs="仿宋_GB2312"/>
          <w:sz w:val="24"/>
        </w:rPr>
      </w:pPr>
      <w:r>
        <w:rPr>
          <w:rFonts w:hint="eastAsia" w:ascii="仿宋_GB2312" w:hAnsi="仿宋_GB2312" w:eastAsia="仿宋_GB2312" w:cs="仿宋_GB2312"/>
          <w:sz w:val="24"/>
        </w:rPr>
        <w:t>依据《中华人民共和国</w:t>
      </w:r>
      <w:r>
        <w:rPr>
          <w:rFonts w:hint="eastAsia" w:ascii="仿宋_GB2312" w:hAnsi="仿宋_GB2312" w:eastAsia="仿宋_GB2312" w:cs="仿宋_GB2312"/>
          <w:sz w:val="24"/>
          <w:lang w:val="en-US" w:eastAsia="zh-CN"/>
        </w:rPr>
        <w:t>民法典</w:t>
      </w:r>
      <w:r>
        <w:rPr>
          <w:rFonts w:hint="eastAsia" w:ascii="仿宋_GB2312" w:hAnsi="仿宋_GB2312" w:eastAsia="仿宋_GB2312" w:cs="仿宋_GB2312"/>
          <w:sz w:val="24"/>
        </w:rPr>
        <w:t>》及其他有关法律法规，遵循平等、自愿、公平和诚实信用的原则，甲、乙双方就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相关事项达成一致意见，订立本合同。</w:t>
      </w:r>
    </w:p>
    <w:p w14:paraId="31FB7C0A">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一、项目范围</w:t>
      </w:r>
    </w:p>
    <w:p w14:paraId="6556F2CB">
      <w:pPr>
        <w:shd w:val="clear" w:color="auto" w:fill="FFFFFF"/>
        <w:snapToGrid w:val="0"/>
        <w:spacing w:line="360" w:lineRule="auto"/>
        <w:rPr>
          <w:rFonts w:hint="eastAsia" w:ascii="仿宋_GB2312" w:hAnsi="仿宋_GB2312" w:eastAsia="仿宋_GB2312" w:cs="仿宋_GB2312"/>
          <w:sz w:val="24"/>
          <w:u w:val="single"/>
        </w:rPr>
      </w:pPr>
      <w:r>
        <w:rPr>
          <w:rFonts w:hint="eastAsia" w:ascii="仿宋_GB2312" w:hAnsi="仿宋_GB2312" w:eastAsia="仿宋_GB2312" w:cs="仿宋_GB2312"/>
          <w:sz w:val="24"/>
        </w:rPr>
        <w:t>本项目包括如下内容：</w:t>
      </w:r>
      <w:r>
        <w:rPr>
          <w:rFonts w:hint="eastAsia" w:ascii="仿宋_GB2312" w:hAnsi="仿宋_GB2312" w:eastAsia="仿宋_GB2312" w:cs="仿宋_GB2312"/>
          <w:sz w:val="24"/>
          <w:u w:val="single"/>
        </w:rPr>
        <w:t xml:space="preserve">     </w:t>
      </w:r>
    </w:p>
    <w:p w14:paraId="7ECADC97">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二、项目服务期</w:t>
      </w:r>
    </w:p>
    <w:p w14:paraId="7DDB0D29">
      <w:pPr>
        <w:shd w:val="clear" w:color="auto" w:fill="FFFFFF"/>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本项目服务期为</w:t>
      </w:r>
      <w:r>
        <w:rPr>
          <w:rFonts w:hint="eastAsia" w:ascii="仿宋_GB2312" w:hAnsi="仿宋_GB2312" w:eastAsia="仿宋_GB2312" w:cs="仿宋_GB2312"/>
          <w:sz w:val="24"/>
          <w:u w:val="single"/>
        </w:rPr>
        <w:t xml:space="preserve">             </w:t>
      </w:r>
    </w:p>
    <w:p w14:paraId="23F974E9">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三、合同文件及解释</w:t>
      </w:r>
    </w:p>
    <w:p w14:paraId="649FE70A">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合同协议书</w:t>
      </w:r>
    </w:p>
    <w:p w14:paraId="1075BB1F">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成交通知书</w:t>
      </w:r>
    </w:p>
    <w:p w14:paraId="7104B305">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磋商文件及澄清补遗文件</w:t>
      </w:r>
      <w:bookmarkStart w:id="2" w:name="_GoBack"/>
      <w:bookmarkEnd w:id="2"/>
    </w:p>
    <w:p w14:paraId="4E8E34E5">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成交单位响应文件</w:t>
      </w:r>
    </w:p>
    <w:p w14:paraId="42BC8ABF">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技术标准、规范</w:t>
      </w:r>
    </w:p>
    <w:p w14:paraId="22851EBA">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其他合同文件</w:t>
      </w:r>
    </w:p>
    <w:p w14:paraId="107FBD1F">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四、合同价款、结算与支付</w:t>
      </w:r>
    </w:p>
    <w:p w14:paraId="0BBDC211">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1、本合同总价款</w:t>
      </w:r>
    </w:p>
    <w:p w14:paraId="573182B0">
      <w:pPr>
        <w:spacing w:line="360" w:lineRule="auto"/>
        <w:ind w:left="1" w:firstLine="480" w:firstLineChars="200"/>
        <w:rPr>
          <w:rFonts w:hint="eastAsia" w:ascii="仿宋_GB2312" w:hAnsi="仿宋_GB2312" w:eastAsia="仿宋_GB2312" w:cs="仿宋_GB2312"/>
          <w:sz w:val="24"/>
        </w:rPr>
      </w:pPr>
      <w:r>
        <w:rPr>
          <w:rFonts w:hint="eastAsia" w:ascii="仿宋_GB2312" w:hAnsi="仿宋_GB2312" w:eastAsia="仿宋_GB2312" w:cs="仿宋_GB2312"/>
          <w:kern w:val="28"/>
          <w:sz w:val="24"/>
        </w:rPr>
        <w:t>本合同总价款为</w:t>
      </w:r>
      <w:r>
        <w:rPr>
          <w:rFonts w:hint="eastAsia" w:ascii="仿宋_GB2312" w:hAnsi="仿宋_GB2312" w:eastAsia="仿宋_GB2312" w:cs="仿宋_GB2312"/>
          <w:b/>
          <w:kern w:val="28"/>
          <w:sz w:val="24"/>
          <w:u w:val="single"/>
        </w:rPr>
        <w:t>RMB            （人民币大写：         )</w:t>
      </w:r>
      <w:r>
        <w:rPr>
          <w:rFonts w:hint="eastAsia" w:ascii="仿宋_GB2312" w:hAnsi="仿宋_GB2312" w:eastAsia="仿宋_GB2312" w:cs="仿宋_GB2312"/>
          <w:bCs/>
          <w:kern w:val="28"/>
          <w:sz w:val="24"/>
        </w:rPr>
        <w:t>综合单价为</w:t>
      </w:r>
      <w:r>
        <w:rPr>
          <w:rFonts w:hint="eastAsia" w:ascii="仿宋_GB2312" w:hAnsi="仿宋_GB2312" w:eastAsia="仿宋_GB2312" w:cs="仿宋_GB2312"/>
          <w:b/>
          <w:kern w:val="28"/>
          <w:sz w:val="24"/>
          <w:u w:val="single"/>
        </w:rPr>
        <w:t>RMB            （人民币大写：         )，</w:t>
      </w:r>
      <w:r>
        <w:rPr>
          <w:rFonts w:hint="eastAsia" w:ascii="仿宋_GB2312" w:hAnsi="仿宋_GB2312" w:eastAsia="仿宋_GB2312" w:cs="仿宋_GB2312"/>
          <w:kern w:val="28"/>
          <w:sz w:val="24"/>
        </w:rPr>
        <w:t>该合同总价/综合单价包括承接甲方项目所承担的全过程的一切费用</w:t>
      </w:r>
      <w:r>
        <w:rPr>
          <w:rFonts w:hint="eastAsia" w:ascii="仿宋_GB2312" w:hAnsi="仿宋_GB2312" w:eastAsia="仿宋_GB2312" w:cs="仿宋_GB2312"/>
          <w:sz w:val="24"/>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316"/>
        <w:gridCol w:w="1125"/>
        <w:gridCol w:w="947"/>
        <w:gridCol w:w="724"/>
        <w:gridCol w:w="988"/>
        <w:gridCol w:w="1161"/>
        <w:gridCol w:w="2089"/>
      </w:tblGrid>
      <w:tr w14:paraId="7CE16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38B4ACA8">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序号</w:t>
            </w:r>
          </w:p>
        </w:tc>
        <w:tc>
          <w:tcPr>
            <w:tcW w:w="1316" w:type="dxa"/>
            <w:noWrap w:val="0"/>
            <w:vAlign w:val="center"/>
          </w:tcPr>
          <w:p w14:paraId="101D5C23">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服务名称</w:t>
            </w:r>
          </w:p>
        </w:tc>
        <w:tc>
          <w:tcPr>
            <w:tcW w:w="1125" w:type="dxa"/>
            <w:noWrap w:val="0"/>
            <w:vAlign w:val="center"/>
          </w:tcPr>
          <w:p w14:paraId="11860AFE">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主要技术/服务指标</w:t>
            </w:r>
          </w:p>
        </w:tc>
        <w:tc>
          <w:tcPr>
            <w:tcW w:w="947" w:type="dxa"/>
            <w:noWrap w:val="0"/>
            <w:vAlign w:val="center"/>
          </w:tcPr>
          <w:p w14:paraId="434D8A7C">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单位</w:t>
            </w:r>
          </w:p>
        </w:tc>
        <w:tc>
          <w:tcPr>
            <w:tcW w:w="724" w:type="dxa"/>
            <w:noWrap w:val="0"/>
            <w:vAlign w:val="center"/>
          </w:tcPr>
          <w:p w14:paraId="33479DCE">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数量</w:t>
            </w:r>
          </w:p>
        </w:tc>
        <w:tc>
          <w:tcPr>
            <w:tcW w:w="988" w:type="dxa"/>
            <w:noWrap w:val="0"/>
            <w:vAlign w:val="center"/>
          </w:tcPr>
          <w:p w14:paraId="46574CB8">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单价（元）</w:t>
            </w:r>
          </w:p>
        </w:tc>
        <w:tc>
          <w:tcPr>
            <w:tcW w:w="1161" w:type="dxa"/>
            <w:noWrap w:val="0"/>
            <w:vAlign w:val="center"/>
          </w:tcPr>
          <w:p w14:paraId="1EBA6066">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合价（元）</w:t>
            </w:r>
          </w:p>
        </w:tc>
        <w:tc>
          <w:tcPr>
            <w:tcW w:w="2089" w:type="dxa"/>
            <w:noWrap w:val="0"/>
            <w:vAlign w:val="center"/>
          </w:tcPr>
          <w:p w14:paraId="2D2F63D4">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备注</w:t>
            </w:r>
          </w:p>
        </w:tc>
      </w:tr>
      <w:tr w14:paraId="3A16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3A1C9447">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1</w:t>
            </w:r>
          </w:p>
        </w:tc>
        <w:tc>
          <w:tcPr>
            <w:tcW w:w="1316" w:type="dxa"/>
            <w:noWrap w:val="0"/>
            <w:vAlign w:val="center"/>
          </w:tcPr>
          <w:p w14:paraId="368976BA">
            <w:pPr>
              <w:spacing w:line="440" w:lineRule="exact"/>
              <w:jc w:val="center"/>
              <w:rPr>
                <w:rFonts w:hint="eastAsia" w:ascii="仿宋_GB2312" w:hAnsi="仿宋_GB2312" w:eastAsia="仿宋_GB2312" w:cs="仿宋_GB2312"/>
                <w:bCs/>
                <w:sz w:val="24"/>
              </w:rPr>
            </w:pPr>
          </w:p>
        </w:tc>
        <w:tc>
          <w:tcPr>
            <w:tcW w:w="1125" w:type="dxa"/>
            <w:noWrap w:val="0"/>
            <w:vAlign w:val="center"/>
          </w:tcPr>
          <w:p w14:paraId="4199A4F9">
            <w:pPr>
              <w:spacing w:line="440" w:lineRule="exact"/>
              <w:jc w:val="center"/>
              <w:rPr>
                <w:rFonts w:hint="eastAsia" w:ascii="仿宋_GB2312" w:hAnsi="仿宋_GB2312" w:eastAsia="仿宋_GB2312" w:cs="仿宋_GB2312"/>
                <w:bCs/>
                <w:sz w:val="24"/>
              </w:rPr>
            </w:pPr>
          </w:p>
        </w:tc>
        <w:tc>
          <w:tcPr>
            <w:tcW w:w="947" w:type="dxa"/>
            <w:noWrap w:val="0"/>
            <w:vAlign w:val="center"/>
          </w:tcPr>
          <w:p w14:paraId="28E711C5">
            <w:pPr>
              <w:spacing w:line="440" w:lineRule="exact"/>
              <w:jc w:val="center"/>
              <w:rPr>
                <w:rFonts w:hint="eastAsia" w:ascii="仿宋_GB2312" w:hAnsi="仿宋_GB2312" w:eastAsia="仿宋_GB2312" w:cs="仿宋_GB2312"/>
                <w:bCs/>
                <w:sz w:val="24"/>
              </w:rPr>
            </w:pPr>
          </w:p>
        </w:tc>
        <w:tc>
          <w:tcPr>
            <w:tcW w:w="724" w:type="dxa"/>
            <w:noWrap w:val="0"/>
            <w:vAlign w:val="center"/>
          </w:tcPr>
          <w:p w14:paraId="6C8B21D3">
            <w:pPr>
              <w:spacing w:line="440" w:lineRule="exact"/>
              <w:jc w:val="center"/>
              <w:rPr>
                <w:rFonts w:hint="eastAsia" w:ascii="仿宋_GB2312" w:hAnsi="仿宋_GB2312" w:eastAsia="仿宋_GB2312" w:cs="仿宋_GB2312"/>
                <w:bCs/>
                <w:sz w:val="24"/>
              </w:rPr>
            </w:pPr>
          </w:p>
        </w:tc>
        <w:tc>
          <w:tcPr>
            <w:tcW w:w="988" w:type="dxa"/>
            <w:noWrap w:val="0"/>
            <w:vAlign w:val="center"/>
          </w:tcPr>
          <w:p w14:paraId="1DBA704B">
            <w:pPr>
              <w:spacing w:line="440" w:lineRule="exact"/>
              <w:jc w:val="center"/>
              <w:rPr>
                <w:rFonts w:hint="eastAsia" w:ascii="仿宋_GB2312" w:hAnsi="仿宋_GB2312" w:eastAsia="仿宋_GB2312" w:cs="仿宋_GB2312"/>
                <w:bCs/>
                <w:sz w:val="24"/>
              </w:rPr>
            </w:pPr>
          </w:p>
        </w:tc>
        <w:tc>
          <w:tcPr>
            <w:tcW w:w="1161" w:type="dxa"/>
            <w:noWrap w:val="0"/>
            <w:vAlign w:val="center"/>
          </w:tcPr>
          <w:p w14:paraId="3229EFE2">
            <w:pPr>
              <w:spacing w:line="440" w:lineRule="exact"/>
              <w:jc w:val="center"/>
              <w:rPr>
                <w:rFonts w:hint="eastAsia" w:ascii="仿宋_GB2312" w:hAnsi="仿宋_GB2312" w:eastAsia="仿宋_GB2312" w:cs="仿宋_GB2312"/>
                <w:bCs/>
                <w:sz w:val="24"/>
              </w:rPr>
            </w:pPr>
          </w:p>
        </w:tc>
        <w:tc>
          <w:tcPr>
            <w:tcW w:w="2089" w:type="dxa"/>
            <w:noWrap w:val="0"/>
            <w:vAlign w:val="center"/>
          </w:tcPr>
          <w:p w14:paraId="39B037EA">
            <w:pPr>
              <w:spacing w:line="440" w:lineRule="exact"/>
              <w:jc w:val="center"/>
              <w:rPr>
                <w:rFonts w:hint="eastAsia" w:ascii="仿宋_GB2312" w:hAnsi="仿宋_GB2312" w:eastAsia="仿宋_GB2312" w:cs="仿宋_GB2312"/>
                <w:bCs/>
                <w:sz w:val="24"/>
              </w:rPr>
            </w:pPr>
          </w:p>
        </w:tc>
      </w:tr>
      <w:tr w14:paraId="24EF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2EBCD81A">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2</w:t>
            </w:r>
          </w:p>
        </w:tc>
        <w:tc>
          <w:tcPr>
            <w:tcW w:w="1316" w:type="dxa"/>
            <w:noWrap w:val="0"/>
            <w:vAlign w:val="center"/>
          </w:tcPr>
          <w:p w14:paraId="632EE4A8">
            <w:pPr>
              <w:spacing w:line="440" w:lineRule="exact"/>
              <w:jc w:val="center"/>
              <w:rPr>
                <w:rFonts w:hint="eastAsia" w:ascii="仿宋_GB2312" w:hAnsi="仿宋_GB2312" w:eastAsia="仿宋_GB2312" w:cs="仿宋_GB2312"/>
                <w:bCs/>
                <w:sz w:val="24"/>
              </w:rPr>
            </w:pPr>
          </w:p>
        </w:tc>
        <w:tc>
          <w:tcPr>
            <w:tcW w:w="1125" w:type="dxa"/>
            <w:noWrap w:val="0"/>
            <w:vAlign w:val="center"/>
          </w:tcPr>
          <w:p w14:paraId="5EE1DFBC">
            <w:pPr>
              <w:spacing w:line="440" w:lineRule="exact"/>
              <w:jc w:val="center"/>
              <w:rPr>
                <w:rFonts w:hint="eastAsia" w:ascii="仿宋_GB2312" w:hAnsi="仿宋_GB2312" w:eastAsia="仿宋_GB2312" w:cs="仿宋_GB2312"/>
                <w:bCs/>
                <w:sz w:val="24"/>
              </w:rPr>
            </w:pPr>
          </w:p>
        </w:tc>
        <w:tc>
          <w:tcPr>
            <w:tcW w:w="947" w:type="dxa"/>
            <w:noWrap w:val="0"/>
            <w:vAlign w:val="center"/>
          </w:tcPr>
          <w:p w14:paraId="5A815A5A">
            <w:pPr>
              <w:spacing w:line="440" w:lineRule="exact"/>
              <w:jc w:val="center"/>
              <w:rPr>
                <w:rFonts w:hint="eastAsia" w:ascii="仿宋_GB2312" w:hAnsi="仿宋_GB2312" w:eastAsia="仿宋_GB2312" w:cs="仿宋_GB2312"/>
                <w:bCs/>
                <w:sz w:val="24"/>
              </w:rPr>
            </w:pPr>
          </w:p>
        </w:tc>
        <w:tc>
          <w:tcPr>
            <w:tcW w:w="724" w:type="dxa"/>
            <w:noWrap w:val="0"/>
            <w:vAlign w:val="center"/>
          </w:tcPr>
          <w:p w14:paraId="4016630B">
            <w:pPr>
              <w:spacing w:line="440" w:lineRule="exact"/>
              <w:jc w:val="center"/>
              <w:rPr>
                <w:rFonts w:hint="eastAsia" w:ascii="仿宋_GB2312" w:hAnsi="仿宋_GB2312" w:eastAsia="仿宋_GB2312" w:cs="仿宋_GB2312"/>
                <w:bCs/>
                <w:sz w:val="24"/>
              </w:rPr>
            </w:pPr>
          </w:p>
        </w:tc>
        <w:tc>
          <w:tcPr>
            <w:tcW w:w="988" w:type="dxa"/>
            <w:noWrap w:val="0"/>
            <w:vAlign w:val="center"/>
          </w:tcPr>
          <w:p w14:paraId="7514B77A">
            <w:pPr>
              <w:spacing w:line="440" w:lineRule="exact"/>
              <w:jc w:val="center"/>
              <w:rPr>
                <w:rFonts w:hint="eastAsia" w:ascii="仿宋_GB2312" w:hAnsi="仿宋_GB2312" w:eastAsia="仿宋_GB2312" w:cs="仿宋_GB2312"/>
                <w:bCs/>
                <w:sz w:val="24"/>
              </w:rPr>
            </w:pPr>
          </w:p>
        </w:tc>
        <w:tc>
          <w:tcPr>
            <w:tcW w:w="1161" w:type="dxa"/>
            <w:noWrap w:val="0"/>
            <w:vAlign w:val="center"/>
          </w:tcPr>
          <w:p w14:paraId="033095C3">
            <w:pPr>
              <w:spacing w:line="440" w:lineRule="exact"/>
              <w:jc w:val="center"/>
              <w:rPr>
                <w:rFonts w:hint="eastAsia" w:ascii="仿宋_GB2312" w:hAnsi="仿宋_GB2312" w:eastAsia="仿宋_GB2312" w:cs="仿宋_GB2312"/>
                <w:bCs/>
                <w:sz w:val="24"/>
              </w:rPr>
            </w:pPr>
          </w:p>
        </w:tc>
        <w:tc>
          <w:tcPr>
            <w:tcW w:w="2089" w:type="dxa"/>
            <w:noWrap w:val="0"/>
            <w:vAlign w:val="center"/>
          </w:tcPr>
          <w:p w14:paraId="7C22E2C2">
            <w:pPr>
              <w:spacing w:line="440" w:lineRule="exact"/>
              <w:jc w:val="center"/>
              <w:rPr>
                <w:rFonts w:hint="eastAsia" w:ascii="仿宋_GB2312" w:hAnsi="仿宋_GB2312" w:eastAsia="仿宋_GB2312" w:cs="仿宋_GB2312"/>
                <w:bCs/>
                <w:sz w:val="24"/>
              </w:rPr>
            </w:pPr>
          </w:p>
        </w:tc>
      </w:tr>
      <w:tr w14:paraId="1D57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gridSpan w:val="2"/>
            <w:noWrap w:val="0"/>
            <w:vAlign w:val="center"/>
          </w:tcPr>
          <w:p w14:paraId="087F1C4B">
            <w:pPr>
              <w:spacing w:line="440" w:lineRule="exact"/>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合计金额（元）</w:t>
            </w:r>
          </w:p>
        </w:tc>
        <w:tc>
          <w:tcPr>
            <w:tcW w:w="1125" w:type="dxa"/>
            <w:noWrap w:val="0"/>
            <w:vAlign w:val="center"/>
          </w:tcPr>
          <w:p w14:paraId="0362B3BB">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大写</w:t>
            </w:r>
          </w:p>
        </w:tc>
        <w:tc>
          <w:tcPr>
            <w:tcW w:w="2659" w:type="dxa"/>
            <w:gridSpan w:val="3"/>
            <w:noWrap w:val="0"/>
            <w:vAlign w:val="center"/>
          </w:tcPr>
          <w:p w14:paraId="4C8F532E">
            <w:pPr>
              <w:spacing w:line="440" w:lineRule="exact"/>
              <w:jc w:val="center"/>
              <w:rPr>
                <w:rFonts w:hint="eastAsia" w:ascii="仿宋_GB2312" w:hAnsi="仿宋_GB2312" w:eastAsia="仿宋_GB2312" w:cs="仿宋_GB2312"/>
                <w:bCs/>
                <w:sz w:val="24"/>
              </w:rPr>
            </w:pPr>
          </w:p>
        </w:tc>
        <w:tc>
          <w:tcPr>
            <w:tcW w:w="1161" w:type="dxa"/>
            <w:noWrap w:val="0"/>
            <w:vAlign w:val="center"/>
          </w:tcPr>
          <w:p w14:paraId="1661D3C7">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小写</w:t>
            </w:r>
          </w:p>
        </w:tc>
        <w:tc>
          <w:tcPr>
            <w:tcW w:w="2089" w:type="dxa"/>
            <w:noWrap w:val="0"/>
            <w:vAlign w:val="center"/>
          </w:tcPr>
          <w:p w14:paraId="4D54969D">
            <w:pPr>
              <w:spacing w:line="440" w:lineRule="exact"/>
              <w:jc w:val="center"/>
              <w:rPr>
                <w:rFonts w:hint="eastAsia" w:ascii="仿宋_GB2312" w:hAnsi="仿宋_GB2312" w:eastAsia="仿宋_GB2312" w:cs="仿宋_GB2312"/>
                <w:bCs/>
                <w:sz w:val="24"/>
              </w:rPr>
            </w:pPr>
          </w:p>
        </w:tc>
      </w:tr>
      <w:tr w14:paraId="2928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gridSpan w:val="2"/>
            <w:noWrap w:val="0"/>
            <w:vAlign w:val="center"/>
          </w:tcPr>
          <w:p w14:paraId="2839833A">
            <w:pPr>
              <w:spacing w:line="440" w:lineRule="exact"/>
              <w:jc w:val="center"/>
              <w:rPr>
                <w:rFonts w:hint="eastAsia" w:ascii="仿宋_GB2312" w:hAnsi="仿宋_GB2312" w:eastAsia="仿宋_GB2312" w:cs="仿宋_GB2312"/>
                <w:bCs/>
                <w:sz w:val="24"/>
                <w:lang w:eastAsia="zh-CN"/>
              </w:rPr>
            </w:pPr>
            <w:r>
              <w:rPr>
                <w:rFonts w:hint="eastAsia" w:ascii="仿宋_GB2312" w:hAnsi="仿宋_GB2312" w:eastAsia="仿宋_GB2312" w:cs="仿宋_GB2312"/>
                <w:bCs/>
                <w:sz w:val="24"/>
                <w:lang w:eastAsia="zh-CN"/>
              </w:rPr>
              <w:t>服务期</w:t>
            </w:r>
          </w:p>
        </w:tc>
        <w:tc>
          <w:tcPr>
            <w:tcW w:w="7034" w:type="dxa"/>
            <w:gridSpan w:val="6"/>
            <w:noWrap w:val="0"/>
            <w:vAlign w:val="center"/>
          </w:tcPr>
          <w:p w14:paraId="78830021">
            <w:pPr>
              <w:spacing w:line="440" w:lineRule="exact"/>
              <w:jc w:val="center"/>
              <w:rPr>
                <w:rFonts w:hint="eastAsia" w:ascii="仿宋_GB2312" w:hAnsi="仿宋_GB2312" w:eastAsia="仿宋_GB2312" w:cs="仿宋_GB2312"/>
                <w:bCs/>
                <w:sz w:val="24"/>
              </w:rPr>
            </w:pPr>
          </w:p>
        </w:tc>
      </w:tr>
      <w:tr w14:paraId="48FB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gridSpan w:val="2"/>
            <w:noWrap w:val="0"/>
            <w:vAlign w:val="center"/>
          </w:tcPr>
          <w:p w14:paraId="6E321DDD">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其它</w:t>
            </w:r>
          </w:p>
        </w:tc>
        <w:tc>
          <w:tcPr>
            <w:tcW w:w="7034" w:type="dxa"/>
            <w:gridSpan w:val="6"/>
            <w:noWrap w:val="0"/>
            <w:vAlign w:val="center"/>
          </w:tcPr>
          <w:p w14:paraId="226BFD51">
            <w:pPr>
              <w:spacing w:line="440" w:lineRule="exact"/>
              <w:jc w:val="center"/>
              <w:rPr>
                <w:rFonts w:hint="eastAsia" w:ascii="仿宋_GB2312" w:hAnsi="仿宋_GB2312" w:eastAsia="仿宋_GB2312" w:cs="仿宋_GB2312"/>
                <w:bCs/>
                <w:sz w:val="24"/>
              </w:rPr>
            </w:pPr>
          </w:p>
        </w:tc>
      </w:tr>
    </w:tbl>
    <w:p w14:paraId="79CB1F7E">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2、支付方式</w:t>
      </w:r>
    </w:p>
    <w:p w14:paraId="606BC801">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2.1付款方式：</w:t>
      </w:r>
    </w:p>
    <w:p w14:paraId="196579B8">
      <w:pPr>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3、结算方式</w:t>
      </w:r>
    </w:p>
    <w:p w14:paraId="189EFA1F">
      <w:pPr>
        <w:spacing w:line="360" w:lineRule="auto"/>
        <w:ind w:left="1"/>
        <w:rPr>
          <w:rFonts w:hint="eastAsia" w:ascii="仿宋_GB2312" w:hAnsi="仿宋_GB2312" w:eastAsia="仿宋_GB2312" w:cs="仿宋_GB2312"/>
          <w:sz w:val="24"/>
        </w:rPr>
      </w:pPr>
      <w:r>
        <w:rPr>
          <w:rFonts w:hint="eastAsia" w:ascii="仿宋_GB2312" w:hAnsi="仿宋_GB2312" w:eastAsia="仿宋_GB2312" w:cs="仿宋_GB2312"/>
          <w:sz w:val="24"/>
        </w:rPr>
        <w:t>3.1、凡因乙方报价漏项、误报等导致的费用差异均由乙方自行承担，且必须按合同约定继续履行此部分合同内容，结算时不予调整。</w:t>
      </w:r>
    </w:p>
    <w:p w14:paraId="68BDA80A">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五、权利与义务</w:t>
      </w:r>
    </w:p>
    <w:p w14:paraId="07D6286A">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（一）甲方的权利与义务</w:t>
      </w:r>
    </w:p>
    <w:p w14:paraId="712232A9">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1、甲方有权要求乙方服务的项目内容符合国家相关规范，符合国家验收标准，能够通过国家验收。</w:t>
      </w:r>
    </w:p>
    <w:p w14:paraId="381756D8">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2、甲方有权要求乙方配合甲方完成所采购服务内容的预验收工作以及正式验收工作。</w:t>
      </w:r>
    </w:p>
    <w:p w14:paraId="5BB73CB2">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3、甲方有权要求乙方提供的服务所涉及的第三方权利进行免责。</w:t>
      </w:r>
    </w:p>
    <w:p w14:paraId="220D6878">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4、甲方有义务保证按合同所规定的内容及时间支付乙方相关费用。</w:t>
      </w:r>
    </w:p>
    <w:p w14:paraId="340046E3">
      <w:pPr>
        <w:shd w:val="clear" w:color="auto" w:fill="FFFFFF"/>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kern w:val="28"/>
          <w:sz w:val="24"/>
        </w:rPr>
        <w:t>5、甲方</w:t>
      </w:r>
      <w:r>
        <w:rPr>
          <w:rFonts w:hint="eastAsia" w:ascii="仿宋_GB2312" w:hAnsi="仿宋_GB2312" w:eastAsia="仿宋_GB2312" w:cs="仿宋_GB2312"/>
          <w:sz w:val="24"/>
        </w:rPr>
        <w:t>项目负责人为</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w:t>
      </w:r>
    </w:p>
    <w:p w14:paraId="2451981B">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（二）乙方的权利与义务</w:t>
      </w:r>
    </w:p>
    <w:p w14:paraId="7934CF46">
      <w:pPr>
        <w:spacing w:line="360" w:lineRule="auto"/>
        <w:rPr>
          <w:rFonts w:hint="eastAsia" w:ascii="仿宋_GB2312" w:hAnsi="仿宋_GB2312" w:eastAsia="仿宋_GB2312" w:cs="仿宋_GB2312"/>
          <w:sz w:val="24"/>
        </w:rPr>
      </w:pPr>
      <w:r>
        <w:rPr>
          <w:rFonts w:hint="eastAsia" w:ascii="仿宋_GB2312" w:hAnsi="仿宋_GB2312" w:eastAsia="仿宋_GB2312" w:cs="仿宋_GB2312"/>
          <w:kern w:val="28"/>
          <w:sz w:val="24"/>
        </w:rPr>
        <w:t>1、乙方应</w:t>
      </w:r>
      <w:r>
        <w:rPr>
          <w:rFonts w:hint="eastAsia" w:ascii="仿宋_GB2312" w:hAnsi="仿宋_GB2312" w:eastAsia="仿宋_GB2312" w:cs="仿宋_GB2312"/>
          <w:sz w:val="24"/>
        </w:rPr>
        <w:t>按本合同的规定完成维护服务，并保证甲方工作正常运行。</w:t>
      </w:r>
    </w:p>
    <w:p w14:paraId="4FD56FE7">
      <w:pPr>
        <w:spacing w:line="360" w:lineRule="auto"/>
        <w:rPr>
          <w:rFonts w:hint="eastAsia" w:ascii="仿宋_GB2312" w:hAnsi="仿宋_GB2312" w:eastAsia="仿宋_GB2312" w:cs="仿宋_GB2312"/>
          <w:sz w:val="24"/>
        </w:rPr>
      </w:pPr>
      <w:r>
        <w:rPr>
          <w:rFonts w:hint="eastAsia" w:ascii="仿宋_GB2312" w:hAnsi="仿宋_GB2312" w:eastAsia="仿宋_GB2312" w:cs="仿宋_GB2312"/>
          <w:kern w:val="28"/>
          <w:sz w:val="24"/>
        </w:rPr>
        <w:t>2、乙方有权要求甲方按照具体情况提供必要的服务条件</w:t>
      </w:r>
      <w:r>
        <w:rPr>
          <w:rFonts w:hint="eastAsia" w:ascii="仿宋_GB2312" w:hAnsi="仿宋_GB2312" w:eastAsia="仿宋_GB2312" w:cs="仿宋_GB2312"/>
          <w:sz w:val="24"/>
        </w:rPr>
        <w:t>。</w:t>
      </w:r>
    </w:p>
    <w:p w14:paraId="364A58A3">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3、乙方有义务配合甲方参与项目的预验收、正式竣工验收工作，并确保所服务项目内容符合本项目质量标准。</w:t>
      </w:r>
    </w:p>
    <w:p w14:paraId="52E8BC88">
      <w:pPr>
        <w:shd w:val="clear" w:color="auto" w:fill="FFFFFF"/>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kern w:val="28"/>
          <w:sz w:val="24"/>
        </w:rPr>
        <w:t>4、乙方</w:t>
      </w:r>
      <w:r>
        <w:rPr>
          <w:rFonts w:hint="eastAsia" w:ascii="仿宋_GB2312" w:hAnsi="仿宋_GB2312" w:eastAsia="仿宋_GB2312" w:cs="仿宋_GB2312"/>
          <w:sz w:val="24"/>
        </w:rPr>
        <w:t>项目负责人为</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w:t>
      </w:r>
    </w:p>
    <w:p w14:paraId="38C09973">
      <w:pPr>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5、在服务验收时，向买方提供相关技术文件。</w:t>
      </w:r>
    </w:p>
    <w:p w14:paraId="75DB41B2">
      <w:pPr>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6、培训甲方或甲方指定的管理人员。</w:t>
      </w:r>
    </w:p>
    <w:p w14:paraId="5968BCB6">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六、质量要求、技术标准</w:t>
      </w:r>
    </w:p>
    <w:p w14:paraId="22C6FF8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本项目在实施扫描中心即时电子档案过程中需严格参照以下政策和标准：</w:t>
      </w:r>
    </w:p>
    <w:p w14:paraId="44A3E4C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《中华人民共和国档案法》；</w:t>
      </w:r>
    </w:p>
    <w:p w14:paraId="723FF06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最高人民法院和国家档案局《人民法院诉讼档案管理办法》；</w:t>
      </w:r>
    </w:p>
    <w:p w14:paraId="04219B4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最高人民法院和国家档案局《人民法院电子诉讼档案管理暂行办法》；</w:t>
      </w:r>
    </w:p>
    <w:p w14:paraId="1648DE9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最高人民法院《关于全面推进人民法院电子卷宗随案同步生成的深度应用的指导意见》；</w:t>
      </w:r>
    </w:p>
    <w:p w14:paraId="566B01A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最高人民法院下发《关于推进人民法院档案数字化工作的通知》；</w:t>
      </w:r>
    </w:p>
    <w:p w14:paraId="42AAAB5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国家档案局办公室《档案数字化外包安全管理规范的通知》；</w:t>
      </w:r>
    </w:p>
    <w:p w14:paraId="79EDD68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《中华人民共和国行业标准DA/T 31-2005纸质档案数字化技术规范》；</w:t>
      </w:r>
    </w:p>
    <w:p w14:paraId="1A84842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《西安市档案管理条例》；</w:t>
      </w:r>
    </w:p>
    <w:p w14:paraId="435B1CC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《西安市电子文件归档与管理办法》；</w:t>
      </w:r>
    </w:p>
    <w:p w14:paraId="3EEF1CC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《西安市归档文件整理实施细则（试行）》。</w:t>
      </w:r>
    </w:p>
    <w:p w14:paraId="3543BC4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指定的场所内进行，确保场所正常秩序和安全。不得遗失、损坏档案，如有违法行为或违反相关规定，将依法或依据约定追究相应的责任。成交供应商应当做到如下要求：</w:t>
      </w:r>
    </w:p>
    <w:p w14:paraId="1E4356B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（1）与项目工作人员签订保密协议，加强工作人员的保密教育。</w:t>
      </w:r>
    </w:p>
    <w:p w14:paraId="5528714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（2）建立严格的保密制度，加强管理，杜绝工作人员对档案及档案信息的私自复制行为。</w:t>
      </w:r>
    </w:p>
    <w:p w14:paraId="50EA367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（3）不同的工序之间应采取相应的管理措施，杜绝泄密事故的发生。</w:t>
      </w:r>
    </w:p>
    <w:p w14:paraId="579D081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（4）扫描加工场地的安全及保密措施。加工场地应具备保密设施，保证档案原件的安全和保密。在工作平台建立监管系统，实时监控工作人员的操作过程，统一记录保存。</w:t>
      </w:r>
    </w:p>
    <w:p w14:paraId="60B4E18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（5）分批验收进行数据移交时，工作站上的数据必须在采购人工作人员的现场监督下销毁，同时移交该批次数字化加工的监管系统监控记录。</w:t>
      </w:r>
    </w:p>
    <w:p w14:paraId="7B14A4F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（6）不得在工作场所使用与工作无关的任何电器设备，不得私自携带照相工具进入作业场所，通讯工具应在进入作业场所前交由专人统一保管。</w:t>
      </w:r>
    </w:p>
    <w:p w14:paraId="114789D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（7）提供组成扫描加工服务中心的组织机构表（包括多少管理人员及多少操作人员等）。</w:t>
      </w:r>
    </w:p>
    <w:p w14:paraId="3692C5A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（8）所有进入加工场地的工作人员实行挂牌制度。</w:t>
      </w:r>
    </w:p>
    <w:p w14:paraId="5141153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（9）本项目制作的数字化产品的所有权归采购人所有，在未经其同意、授权的情况下，不得擅自将产品转让给第三方使用及用于样本展示，否则将承担相应的经济和法律责任。</w:t>
      </w:r>
    </w:p>
    <w:p w14:paraId="6AFABF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七、服务要求</w:t>
      </w:r>
    </w:p>
    <w:p w14:paraId="30F76ED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1、服务要求：根据甲方要求。</w:t>
      </w:r>
    </w:p>
    <w:p w14:paraId="038A82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八、服务地点</w:t>
      </w:r>
    </w:p>
    <w:p w14:paraId="7F1E869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1、甲方指定地点。</w:t>
      </w:r>
    </w:p>
    <w:p w14:paraId="6930B1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九、项目验收</w:t>
      </w:r>
    </w:p>
    <w:p w14:paraId="512F772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1、经甲方考评，考评合格后结算合同价款。</w:t>
      </w:r>
    </w:p>
    <w:p w14:paraId="7A9649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24"/>
        </w:rPr>
      </w:pPr>
      <w:r>
        <w:rPr>
          <w:rFonts w:hint="eastAsia" w:ascii="仿宋" w:hAnsi="仿宋" w:eastAsia="仿宋" w:cs="仿宋"/>
          <w:b/>
          <w:bCs/>
          <w:sz w:val="24"/>
          <w:szCs w:val="24"/>
        </w:rPr>
        <w:t>十、保密条</w:t>
      </w:r>
      <w:r>
        <w:rPr>
          <w:rFonts w:hint="eastAsia" w:ascii="仿宋_GB2312" w:hAnsi="仿宋_GB2312" w:eastAsia="仿宋_GB2312" w:cs="仿宋_GB2312"/>
          <w:b/>
          <w:bCs/>
          <w:sz w:val="24"/>
        </w:rPr>
        <w:t>款</w:t>
      </w:r>
    </w:p>
    <w:p w14:paraId="35637EFF">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双方承诺，除非法律另有规定或双方一致同意，任何一方不得将本协议的内容向第三方透露，否则，应向对方承担相应的违约责任。</w:t>
      </w:r>
    </w:p>
    <w:p w14:paraId="1C44191A">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14:paraId="0786E48C">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3BA18E31">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十一、违约责任</w:t>
      </w:r>
    </w:p>
    <w:p w14:paraId="4602418A">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1、如甲方未能按照合同约定支付款项，每延迟一天应承担当期应付款2‰的违约金，违约金累计不超过当期应付款10%。若违约金累计已达上限，而甲方仍未按合同约定支付款项的，乙方有权立即终止本合同，并停止系统运行，由此给乙方带来的直接损失及间接损失应由甲方进行赔付。</w:t>
      </w:r>
    </w:p>
    <w:p w14:paraId="2A9675C3">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2、乙方应按照合同规定的期限完成系统建设，每延迟一天应承担当期应付款2‰的违约金，违约金累计不超过当期应付款10%。若违约金累计已达上限，乙方仍未履行，甲方有权解除合同。</w:t>
      </w:r>
    </w:p>
    <w:p w14:paraId="223B7152">
      <w:pPr>
        <w:shd w:val="clear" w:color="auto" w:fill="FFFFFF"/>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kern w:val="28"/>
          <w:sz w:val="24"/>
        </w:rPr>
        <w:t>3</w:t>
      </w:r>
      <w:r>
        <w:rPr>
          <w:rFonts w:hint="eastAsia" w:ascii="仿宋_GB2312" w:hAnsi="仿宋_GB2312" w:eastAsia="仿宋_GB2312" w:cs="仿宋_GB2312"/>
          <w:sz w:val="24"/>
        </w:rPr>
        <w:t xml:space="preserve">、甲、乙双方中任何一方违反本合同第十条保密条款的，应当向相对方支付合同总价款 </w:t>
      </w:r>
      <w:r>
        <w:rPr>
          <w:rFonts w:hint="eastAsia" w:ascii="仿宋_GB2312" w:hAnsi="仿宋_GB2312" w:eastAsia="仿宋_GB2312" w:cs="仿宋_GB2312"/>
          <w:sz w:val="24"/>
          <w:u w:val="single"/>
        </w:rPr>
        <w:t>1 %</w:t>
      </w:r>
      <w:r>
        <w:rPr>
          <w:rFonts w:hint="eastAsia" w:ascii="仿宋_GB2312" w:hAnsi="仿宋_GB2312" w:eastAsia="仿宋_GB2312" w:cs="仿宋_GB2312"/>
          <w:sz w:val="24"/>
        </w:rPr>
        <w:t>的违约金。</w:t>
      </w:r>
    </w:p>
    <w:p w14:paraId="22CBA616">
      <w:pPr>
        <w:shd w:val="clear" w:color="auto" w:fill="FFFFFF"/>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4、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w:t>
      </w:r>
      <w:r>
        <w:rPr>
          <w:rFonts w:hint="eastAsia" w:ascii="仿宋_GB2312" w:hAnsi="仿宋_GB2312" w:eastAsia="仿宋_GB2312" w:cs="仿宋_GB2312"/>
          <w:sz w:val="24"/>
          <w:u w:val="single"/>
        </w:rPr>
        <w:t>责</w:t>
      </w:r>
      <w:r>
        <w:rPr>
          <w:rFonts w:hint="eastAsia" w:ascii="仿宋_GB2312" w:hAnsi="仿宋_GB2312" w:eastAsia="仿宋_GB2312" w:cs="仿宋_GB2312"/>
          <w:sz w:val="24"/>
        </w:rPr>
        <w:t xml:space="preserve">任，乙方还应向甲方承担合同总价款 </w:t>
      </w:r>
      <w:r>
        <w:rPr>
          <w:rFonts w:hint="eastAsia" w:ascii="仿宋_GB2312" w:hAnsi="仿宋_GB2312" w:eastAsia="仿宋_GB2312" w:cs="仿宋_GB2312"/>
          <w:sz w:val="24"/>
          <w:u w:val="single"/>
        </w:rPr>
        <w:t>1 %</w:t>
      </w:r>
      <w:r>
        <w:rPr>
          <w:rFonts w:hint="eastAsia" w:ascii="仿宋_GB2312" w:hAnsi="仿宋_GB2312" w:eastAsia="仿宋_GB2312" w:cs="仿宋_GB2312"/>
          <w:sz w:val="24"/>
        </w:rPr>
        <w:t>的违约金，违约金不足以弥补给甲方造成的损失的，乙方还应当承担补足责任。</w:t>
      </w:r>
    </w:p>
    <w:p w14:paraId="061EBEF2">
      <w:pPr>
        <w:shd w:val="clear" w:color="auto" w:fill="FFFFFF"/>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5、合同成立后，在任何一方无实质违约的情况下，未经相对方书面允许，任何一方不得单方撤销、中止、终止履行合同。</w:t>
      </w:r>
    </w:p>
    <w:p w14:paraId="2983D331">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十二、争议解决</w:t>
      </w:r>
    </w:p>
    <w:p w14:paraId="22E8B67A">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合同各方应本着诚信的态度及共同合作的精神，通过协商及</w:t>
      </w:r>
      <w:r>
        <w:rPr>
          <w:rFonts w:hint="eastAsia" w:ascii="仿宋_GB2312" w:hAnsi="仿宋_GB2312" w:eastAsia="仿宋_GB2312" w:cs="仿宋_GB2312"/>
          <w:kern w:val="28"/>
          <w:sz w:val="24"/>
          <w:lang w:eastAsia="zh-CN"/>
        </w:rPr>
        <w:t>磋商</w:t>
      </w:r>
      <w:r>
        <w:rPr>
          <w:rFonts w:hint="eastAsia" w:ascii="仿宋_GB2312" w:hAnsi="仿宋_GB2312" w:eastAsia="仿宋_GB2312" w:cs="仿宋_GB2312"/>
          <w:kern w:val="28"/>
          <w:sz w:val="24"/>
        </w:rPr>
        <w:t>来努力解决由本合同而产生的或与本合同有关（包括本合同项下某一特定货物买卖合同）的任何争议及不同意见。协商、</w:t>
      </w:r>
      <w:r>
        <w:rPr>
          <w:rFonts w:hint="eastAsia" w:ascii="仿宋_GB2312" w:hAnsi="仿宋_GB2312" w:eastAsia="仿宋_GB2312" w:cs="仿宋_GB2312"/>
          <w:kern w:val="28"/>
          <w:sz w:val="24"/>
          <w:lang w:eastAsia="zh-CN"/>
        </w:rPr>
        <w:t>磋商</w:t>
      </w:r>
      <w:r>
        <w:rPr>
          <w:rFonts w:hint="eastAsia" w:ascii="仿宋_GB2312" w:hAnsi="仿宋_GB2312" w:eastAsia="仿宋_GB2312" w:cs="仿宋_GB2312"/>
          <w:kern w:val="28"/>
          <w:sz w:val="24"/>
        </w:rPr>
        <w:t>不能解决的，任何一方</w:t>
      </w:r>
      <w:r>
        <w:rPr>
          <w:rFonts w:hint="eastAsia" w:ascii="仿宋_GB2312" w:hAnsi="仿宋_GB2312" w:eastAsia="仿宋_GB2312" w:cs="仿宋_GB2312"/>
          <w:sz w:val="24"/>
        </w:rPr>
        <w:t>均有权向甲方所在地人民法院提起诉讼。</w:t>
      </w:r>
    </w:p>
    <w:p w14:paraId="220FE7EE">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十三、协议期限</w:t>
      </w:r>
    </w:p>
    <w:p w14:paraId="21935A3F">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本协议从双方法定代表人或授权代表签字、盖章之日起生效。</w:t>
      </w:r>
    </w:p>
    <w:p w14:paraId="218175A4">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十四、不可抗力</w:t>
      </w:r>
    </w:p>
    <w:p w14:paraId="5CF306B6">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1、本合同项下的“不可抗力”是指不能预见，不能避免且不能克服的客观情况，使得本合同一方当事人无法履行合同义务，如战争、严重火灾、水灾、风灾和地震以及其他经三方同意属于不可抗力的事故。</w:t>
      </w:r>
    </w:p>
    <w:p w14:paraId="12394C8B">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16D7CFFB">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3、如不可抗力时间延续90天以上的，各方通过协商达成在合理的时间内继续履行合同，或部分履行合同，或终止合同的履行。</w:t>
      </w:r>
    </w:p>
    <w:p w14:paraId="665749C6">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4、一方迟延履行后发生不可抗力的，不能免除责任。</w:t>
      </w:r>
    </w:p>
    <w:p w14:paraId="2538E6A5">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十五、通知和合同修改</w:t>
      </w:r>
    </w:p>
    <w:p w14:paraId="5B1E9920">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本合同一方给另一方的通知，都应以书面的形式（信函、传真）发送至对方，对本合同条款进行任何改动，均须由甲乙双方签署书面合同修改或经济签证，方为有效。</w:t>
      </w:r>
    </w:p>
    <w:p w14:paraId="2B5D3ED8">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十六、</w:t>
      </w:r>
      <w:r>
        <w:rPr>
          <w:rFonts w:hint="eastAsia" w:ascii="仿宋_GB2312" w:hAnsi="仿宋_GB2312" w:eastAsia="仿宋_GB2312" w:cs="仿宋_GB2312"/>
          <w:b/>
          <w:bCs/>
          <w:sz w:val="24"/>
          <w:lang w:val="en-US" w:eastAsia="zh-CN"/>
        </w:rPr>
        <w:t>合同份数</w:t>
      </w:r>
    </w:p>
    <w:p w14:paraId="75FDCC48">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本协议的附件为本协议不可分割的部分，与本协议正文具有同等的法律效力。协议附件与本协议约定不一致的，以本协议的约定为准，除非双方一致同意并以书面形式表示以协议附件为准。</w:t>
      </w:r>
    </w:p>
    <w:p w14:paraId="3A7DF327">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本合同甲、乙双方均同意以上条款内容。</w:t>
      </w:r>
    </w:p>
    <w:p w14:paraId="4FBAD585">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本合同</w:t>
      </w:r>
      <w:r>
        <w:rPr>
          <w:rFonts w:hint="eastAsia" w:ascii="仿宋_GB2312" w:hAnsi="仿宋_GB2312" w:eastAsia="仿宋_GB2312" w:cs="仿宋_GB2312"/>
          <w:kern w:val="28"/>
          <w:sz w:val="24"/>
          <w:lang w:val="en-US" w:eastAsia="zh-CN"/>
        </w:rPr>
        <w:t>一式</w:t>
      </w:r>
      <w:r>
        <w:rPr>
          <w:rFonts w:hint="eastAsia" w:ascii="仿宋_GB2312" w:hAnsi="仿宋_GB2312" w:eastAsia="仿宋_GB2312" w:cs="仿宋_GB2312"/>
          <w:kern w:val="28"/>
          <w:sz w:val="24"/>
          <w:u w:val="single"/>
          <w:lang w:val="en-US" w:eastAsia="zh-CN"/>
        </w:rPr>
        <w:t xml:space="preserve">    </w:t>
      </w:r>
      <w:r>
        <w:rPr>
          <w:rFonts w:hint="eastAsia" w:ascii="仿宋_GB2312" w:hAnsi="仿宋_GB2312" w:eastAsia="仿宋_GB2312" w:cs="仿宋_GB2312"/>
          <w:kern w:val="28"/>
          <w:sz w:val="24"/>
        </w:rPr>
        <w:t>份，具有同等效力。自双方授权代表签字、盖章之日起生效</w:t>
      </w:r>
      <w:r>
        <w:rPr>
          <w:rFonts w:hint="eastAsia" w:ascii="仿宋_GB2312" w:hAnsi="仿宋_GB2312" w:eastAsia="仿宋_GB2312" w:cs="仿宋_GB2312"/>
          <w:kern w:val="28"/>
          <w:sz w:val="24"/>
          <w:lang w:eastAsia="zh-CN"/>
        </w:rPr>
        <w:t>，</w:t>
      </w:r>
      <w:r>
        <w:rPr>
          <w:rFonts w:hint="eastAsia" w:ascii="仿宋_GB2312" w:hAnsi="仿宋_GB2312" w:eastAsia="仿宋_GB2312" w:cs="仿宋_GB2312"/>
          <w:kern w:val="28"/>
          <w:sz w:val="24"/>
        </w:rPr>
        <w:t>本合同的订立、履行、变更、终止、解释等均适用中华人民共和国法律。</w:t>
      </w:r>
    </w:p>
    <w:p w14:paraId="76933A49">
      <w:pPr>
        <w:shd w:val="clear" w:color="auto" w:fill="FFFFFF"/>
        <w:snapToGrid w:val="0"/>
        <w:spacing w:line="360" w:lineRule="auto"/>
        <w:rPr>
          <w:rFonts w:hint="eastAsia" w:ascii="仿宋_GB2312" w:hAnsi="仿宋_GB2312" w:eastAsia="仿宋_GB2312" w:cs="仿宋_GB2312"/>
          <w:b/>
          <w:bCs/>
          <w:kern w:val="28"/>
          <w:sz w:val="24"/>
        </w:rPr>
      </w:pPr>
      <w:r>
        <w:rPr>
          <w:rFonts w:hint="eastAsia" w:ascii="仿宋_GB2312" w:hAnsi="仿宋_GB2312" w:eastAsia="仿宋_GB2312" w:cs="仿宋_GB2312"/>
          <w:b/>
          <w:bCs/>
          <w:kern w:val="28"/>
          <w:sz w:val="24"/>
          <w:lang w:val="en-US" w:eastAsia="zh-CN"/>
        </w:rPr>
        <w:t>十七、未尽事宜</w:t>
      </w:r>
    </w:p>
    <w:p w14:paraId="771D761B">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本合同未尽事宜由双方共同协商，另行订立补充协议，补充协议与本协议具有同样的法律效力。如果本合同之附件与本合同规定不符, 以本合同规定为准。</w:t>
      </w:r>
    </w:p>
    <w:p w14:paraId="1302EC58">
      <w:pPr>
        <w:shd w:val="clear" w:color="auto" w:fill="FFFFFF"/>
        <w:snapToGrid w:val="0"/>
        <w:spacing w:line="360" w:lineRule="auto"/>
        <w:ind w:firstLine="480" w:firstLineChars="200"/>
        <w:rPr>
          <w:rFonts w:hint="eastAsia" w:ascii="仿宋_GB2312" w:hAnsi="仿宋_GB2312" w:eastAsia="仿宋_GB2312" w:cs="仿宋_GB2312"/>
          <w:kern w:val="28"/>
          <w:sz w:val="24"/>
        </w:rPr>
      </w:pPr>
    </w:p>
    <w:p w14:paraId="5DD26991">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（以下无正文）</w:t>
      </w:r>
    </w:p>
    <w:p w14:paraId="4FBB08EC">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 xml:space="preserve">甲方： </w:t>
      </w:r>
    </w:p>
    <w:p w14:paraId="6C744648">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法人代表或授权代表：</w:t>
      </w:r>
    </w:p>
    <w:p w14:paraId="5EFB83CD">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签署日期：   年  月  日</w:t>
      </w:r>
    </w:p>
    <w:p w14:paraId="4E3457DE">
      <w:pPr>
        <w:shd w:val="clear" w:color="auto" w:fill="FFFFFF"/>
        <w:snapToGrid w:val="0"/>
        <w:spacing w:line="360" w:lineRule="auto"/>
        <w:ind w:firstLine="480" w:firstLineChars="200"/>
        <w:rPr>
          <w:rFonts w:hint="eastAsia" w:ascii="仿宋_GB2312" w:hAnsi="仿宋_GB2312" w:eastAsia="仿宋_GB2312" w:cs="仿宋_GB2312"/>
          <w:sz w:val="24"/>
        </w:rPr>
      </w:pPr>
    </w:p>
    <w:p w14:paraId="4807C341">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w:t>
      </w:r>
    </w:p>
    <w:p w14:paraId="447AB261">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法人代表或授权代表：</w:t>
      </w:r>
    </w:p>
    <w:p w14:paraId="5DDF99A0">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签署日期：   年   月  日</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7B4E5464"/>
    <w:rsid w:val="00092509"/>
    <w:rsid w:val="04FC263C"/>
    <w:rsid w:val="064630EF"/>
    <w:rsid w:val="06E567CC"/>
    <w:rsid w:val="0BC3220A"/>
    <w:rsid w:val="0C9C45A4"/>
    <w:rsid w:val="10547730"/>
    <w:rsid w:val="10EC35C2"/>
    <w:rsid w:val="1A44262D"/>
    <w:rsid w:val="1BBB6955"/>
    <w:rsid w:val="28C66939"/>
    <w:rsid w:val="2BDA5335"/>
    <w:rsid w:val="322F1676"/>
    <w:rsid w:val="32F347CF"/>
    <w:rsid w:val="337A0A4C"/>
    <w:rsid w:val="35F8389A"/>
    <w:rsid w:val="37E52144"/>
    <w:rsid w:val="390F7EC1"/>
    <w:rsid w:val="3A856D10"/>
    <w:rsid w:val="3D7A75DA"/>
    <w:rsid w:val="408C234E"/>
    <w:rsid w:val="4169225E"/>
    <w:rsid w:val="469A5235"/>
    <w:rsid w:val="4B013AD5"/>
    <w:rsid w:val="4EF15C0F"/>
    <w:rsid w:val="57DB1539"/>
    <w:rsid w:val="581806B0"/>
    <w:rsid w:val="5B38455C"/>
    <w:rsid w:val="5D373386"/>
    <w:rsid w:val="5DC040E8"/>
    <w:rsid w:val="5F4E49B7"/>
    <w:rsid w:val="699F29DF"/>
    <w:rsid w:val="774B7723"/>
    <w:rsid w:val="7B4E5464"/>
    <w:rsid w:val="7FB1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11"/>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paragraph" w:styleId="7">
    <w:name w:val="index 7"/>
    <w:basedOn w:val="1"/>
    <w:next w:val="1"/>
    <w:qFormat/>
    <w:uiPriority w:val="99"/>
    <w:pPr>
      <w:ind w:left="2520"/>
    </w:pPr>
    <w:rPr>
      <w:rFonts w:ascii="黑体" w:hAnsi="Calibri" w:eastAsia="黑体"/>
      <w:kern w:val="2"/>
      <w:sz w:val="32"/>
      <w:szCs w:val="32"/>
    </w:rPr>
  </w:style>
  <w:style w:type="paragraph" w:styleId="8">
    <w:name w:val="Normal (Web)"/>
    <w:basedOn w:val="1"/>
    <w:next w:val="7"/>
    <w:qFormat/>
    <w:uiPriority w:val="99"/>
    <w:pPr>
      <w:widowControl/>
      <w:spacing w:before="100" w:beforeAutospacing="1" w:after="100" w:afterAutospacing="1"/>
      <w:jc w:val="left"/>
    </w:pPr>
    <w:rPr>
      <w:rFonts w:ascii="宋体" w:hAnsi="宋体" w:cs="宋体"/>
      <w:sz w:val="24"/>
      <w:szCs w:val="24"/>
    </w:rPr>
  </w:style>
  <w:style w:type="character" w:customStyle="1" w:styleId="11">
    <w:name w:val="标题 3 Char"/>
    <w:link w:val="4"/>
    <w:qFormat/>
    <w:uiPriority w:val="0"/>
    <w:rPr>
      <w:rFonts w:ascii="Times New Roman" w:hAnsi="Times New Roman" w:eastAsia="仿宋"/>
      <w:b/>
      <w:bCs/>
      <w:kern w:val="2"/>
      <w:sz w:val="24"/>
      <w:szCs w:val="24"/>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Heading4"/>
    <w:basedOn w:val="1"/>
    <w:next w:val="1"/>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3031</Words>
  <Characters>3110</Characters>
  <Lines>0</Lines>
  <Paragraphs>0</Paragraphs>
  <TotalTime>0</TotalTime>
  <ScaleCrop>false</ScaleCrop>
  <LinksUpToDate>false</LinksUpToDate>
  <CharactersWithSpaces>3650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2023-08-18T06:14:00Z</dcterms:created>
  <dc:creator>？</dc:creator>
  <cp:lastModifiedBy>QQQQ</cp:lastModifiedBy>
  <dcterms:modified xsi:type="dcterms:W3CDTF">2026-05-11T06:41:09Z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FC240D69AAD24DA0810042197C34DE24_11</vt:lpwstr>
  </property>
  <property fmtid="{D5CDD505-2E9C-101B-9397-08002B2CF9AE}" pid="4" name="KSOTemplateDocerSaveRecord">
    <vt:lpwstr>eyJoZGlkIjoiNmZlMDQwN2NiMDE0ZGM3OGQyMjI2MGI5NGMzYzk3YjEiLCJ1c2VySWQiOiIzODkzMjE1NzcifQ==</vt:lpwstr>
  </property>
</Properties>
</file>