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7C674">
      <w:pPr>
        <w:numPr>
          <w:ilvl w:val="0"/>
          <w:numId w:val="0"/>
        </w:numPr>
        <w:spacing w:line="60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 w:bidi="ar-SA"/>
        </w:rPr>
        <w:t>对项目整体理解及施工方案</w:t>
      </w:r>
    </w:p>
    <w:p w14:paraId="52EE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 w:bidi="ar-SA"/>
        </w:rPr>
        <w:t>供应商应根据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磋商文件“第三章  技术标准及要求”及“第六章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F218A"/>
    <w:rsid w:val="71BF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2026-06-03T05:44:00Z</dcterms:created>
  <dc:creator>开瑞</dc:creator>
  <cp:lastModifiedBy>开瑞</cp:lastModifiedBy>
  <dcterms:modified xsi:type="dcterms:W3CDTF">2026-06-03T05:55:03Z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3F38FC95A9A544E7BFC76057992A298C_11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