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1C1CB">
      <w:pPr>
        <w:numPr>
          <w:ilvl w:val="0"/>
          <w:numId w:val="0"/>
        </w:numPr>
        <w:spacing w:line="600" w:lineRule="auto"/>
        <w:jc w:val="center"/>
        <w:rPr>
          <w:rFonts w:hint="default" w:ascii="宋体" w:hAnsi="宋体" w:eastAsia="宋体" w:cs="宋体"/>
          <w:b/>
          <w:bCs/>
          <w:color w:val="auto"/>
          <w:sz w:val="40"/>
          <w:szCs w:val="4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lang w:val="en-US" w:eastAsia="zh-CN" w:bidi="ar-SA"/>
        </w:rPr>
        <w:t>质量管理体系与保证措施</w:t>
      </w:r>
    </w:p>
    <w:p w14:paraId="27F78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Hans" w:bidi="ar-SA"/>
        </w:rPr>
        <w:t>供应商应根据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磋商文件“第三章  技术标准及要求”及“第六章  磋商办法”编制质量管理体系与保证措施。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D56431"/>
    <w:rsid w:val="2DD5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2026-06-03T05:55:00Z</dcterms:created>
  <dc:creator>开瑞</dc:creator>
  <cp:lastModifiedBy>开瑞</cp:lastModifiedBy>
  <dcterms:modified xsi:type="dcterms:W3CDTF">2026-06-03T05:56:18Z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A280595CBFBA4DDE920D983D5F6E2DBC_11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