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版本号：【KRDL】K4-260508420260603001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雁塔校区文体馆环境更新改造项目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【KRDL】K4-2605084</w:t>
      </w:r>
      <w:r>
        <w:br/>
      </w:r>
      <w:r>
        <w:br/>
      </w:r>
      <w:r>
        <w:br/>
      </w:r>
    </w:p>
    <w:p>
      <w:pPr>
        <w:pStyle w:val="null3"/>
        <w:jc w:val="center"/>
        <w:outlineLvl w:val="2"/>
      </w:pPr>
      <w:r>
        <w:rPr>
          <w:rFonts w:ascii="仿宋_GB2312" w:hAnsi="仿宋_GB2312" w:cs="仿宋_GB2312" w:eastAsia="仿宋_GB2312"/>
          <w:sz w:val="28"/>
          <w:b/>
        </w:rPr>
        <w:t>西安建筑科技大学</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西安建筑科技大学</w:t>
      </w:r>
      <w:r>
        <w:rPr>
          <w:rFonts w:ascii="仿宋_GB2312" w:hAnsi="仿宋_GB2312" w:cs="仿宋_GB2312" w:eastAsia="仿宋_GB2312"/>
        </w:rPr>
        <w:t>委托，拟对</w:t>
      </w:r>
      <w:r>
        <w:rPr>
          <w:rFonts w:ascii="仿宋_GB2312" w:hAnsi="仿宋_GB2312" w:cs="仿宋_GB2312" w:eastAsia="仿宋_GB2312"/>
        </w:rPr>
        <w:t>雁塔校区文体馆环境更新改造项目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【KRDL】K4-2605084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雁塔校区文体馆环境更新改造项目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建筑科技大学雁塔校区文体馆环境更新改造项目，为迎接学校70周年校庆，同步打造符合认证标准的专业运动场地，满足训练、竞赛功能需求，保障运动安全与体验，现计划对文体馆进行改造，工程内容包含：卫生间增加更衣、盥洗区，全面翻新空间布局，更换节水型洁具与新型给排水系统，升级通风设施，提升卫生间环境，达到现代化卫生标准。场地铺设专业运动木地板，进行门窗、电气、屋面钢结构漏水等基础设施维修；全面满足大型赛事活动、文艺演出及会议的专业需求，具体以本项目竞争性磋商文件、工程量清单及图纸为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采购包1（雁塔校区文体馆环境更新改造项目）：属于专门面向中小企业采购。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1、主体资格：供应商为向采购人提供工程及相应服务的法人或其他组织；</w:t>
      </w:r>
    </w:p>
    <w:p>
      <w:pPr>
        <w:pStyle w:val="null3"/>
      </w:pPr>
      <w:r>
        <w:rPr>
          <w:rFonts w:ascii="仿宋_GB2312" w:hAnsi="仿宋_GB2312" w:cs="仿宋_GB2312" w:eastAsia="仿宋_GB2312"/>
        </w:rPr>
        <w:t>2、社会保障资金缴纳证明：供应商提供自2025年5月至今已缴纳的至少一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3、税收缴纳证明：供应商提供自2025年5月至今已缴纳的至少一个月纳税证明或完税证明，依法免税的单位应提供相关证明材料；</w:t>
      </w:r>
    </w:p>
    <w:p>
      <w:pPr>
        <w:pStyle w:val="null3"/>
      </w:pPr>
      <w:r>
        <w:rPr>
          <w:rFonts w:ascii="仿宋_GB2312" w:hAnsi="仿宋_GB2312" w:cs="仿宋_GB2312" w:eastAsia="仿宋_GB2312"/>
        </w:rPr>
        <w:t>4、财务状况证明：供应商提供2024或2025年度经审计的完整财务审计报告或在开标日期前六个月内其基本开户银行出具的资信证明；</w:t>
      </w:r>
    </w:p>
    <w:p>
      <w:pPr>
        <w:pStyle w:val="null3"/>
      </w:pPr>
      <w:r>
        <w:rPr>
          <w:rFonts w:ascii="仿宋_GB2312" w:hAnsi="仿宋_GB2312" w:cs="仿宋_GB2312" w:eastAsia="仿宋_GB2312"/>
        </w:rPr>
        <w:t>5、供应商资质要求：供应商须具备建设行政主管部门颁发合法有效的建筑工程施工总承包三级(含)以上或建筑装修装饰工程专业承包二级(含)以上资质，并具备有效的安全生产许可证，且在人员、设备、资金等方面具备相应施工能力；</w:t>
      </w:r>
    </w:p>
    <w:p>
      <w:pPr>
        <w:pStyle w:val="null3"/>
      </w:pPr>
      <w:r>
        <w:rPr>
          <w:rFonts w:ascii="仿宋_GB2312" w:hAnsi="仿宋_GB2312" w:cs="仿宋_GB2312" w:eastAsia="仿宋_GB2312"/>
        </w:rPr>
        <w:t>6、供应商拟派项目经理资质和专业要求：供应商拟派项目经理具备合法有效的建筑工程专业注册建造师二级（含）以上执业资格及安全生产考核合格证书（安全B证），在本单位注册且无在建工程；</w:t>
      </w:r>
    </w:p>
    <w:p>
      <w:pPr>
        <w:pStyle w:val="null3"/>
      </w:pPr>
      <w:r>
        <w:rPr>
          <w:rFonts w:ascii="仿宋_GB2312" w:hAnsi="仿宋_GB2312" w:cs="仿宋_GB2312" w:eastAsia="仿宋_GB2312"/>
        </w:rPr>
        <w:t>7、信誉要求：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 同时拟派项目经理未被列入“信用中国”网站的“重点领域严重失信主体名单”中的“安全生产严重失信主体名单（自然人）”；未被“中国执行信息公开网”列入失信被执行人。</w:t>
      </w:r>
    </w:p>
    <w:p>
      <w:pPr>
        <w:pStyle w:val="null3"/>
      </w:pPr>
      <w:r>
        <w:rPr>
          <w:rFonts w:ascii="仿宋_GB2312" w:hAnsi="仿宋_GB2312" w:cs="仿宋_GB2312" w:eastAsia="仿宋_GB2312"/>
        </w:rPr>
        <w:t>8、其他要求：供应商及其拟派项目经理须在“陕西省住房和城乡建设厅”官方网站可查询；如供应商为外省进陕企业，还须同时提供“陕西省住房和城乡建设厅”官网企业库外省进陕施工企业信息首页截图；</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西安建筑科技大学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西安市雁塔路中段13号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招标采购办公室胡老师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029-82202221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姚瑶、代光艳、路坦、贾亚妮、刘如拉、王昭、刘昆、张晨、王森、靳祥德、成荔、彭明杨、王莉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029-89581863、15229797656、17302920968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采购包1：3,849,300.00元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采购包1保证金金额：60,004.00元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开户名称：开瑞项目管理有限公司</w:t>
            </w:r>
          </w:p>
          <w:p>
            <w:pPr>
              <w:pStyle w:val="null3"/>
            </w:pPr>
            <w:r>
              <w:rPr>
                <w:rFonts w:ascii="仿宋_GB2312" w:hAnsi="仿宋_GB2312" w:cs="仿宋_GB2312" w:eastAsia="仿宋_GB2312"/>
              </w:rPr>
              <w:t>开户银行：招商银行股份有限公司西安分行营业部</w:t>
            </w:r>
          </w:p>
          <w:p>
            <w:pPr>
              <w:pStyle w:val="null3"/>
            </w:pPr>
            <w:r>
              <w:rPr>
                <w:rFonts w:ascii="仿宋_GB2312" w:hAnsi="仿宋_GB2312" w:cs="仿宋_GB2312" w:eastAsia="仿宋_GB2312"/>
              </w:rPr>
              <w:t>银行账号：129905724510703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说明：成交供应商凭成交通知书向采购人缴纳成交金额的3%作为履约保证金，待合同（含保修期）履约完毕后无息退还。若保修期内出现质量问题未及时处理或处理不当造成事故的，履约保证金不予退还。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代理服务费收费标准：参照国家计委颁布的《招标代理服务收费管理暂行办法》（计价格[2002]1980号）及发改办价格[2003]857号文件的规定标准下浮25%收取，本项目代理服务费按服务计取。 备注：在对采购代理服务费或者响应保证金转账时需备注项目名称+采购包名称+采购代理服务费或响应保证金。</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踏勘时间：2026-06-11 17:00:00</w:t>
            </w:r>
          </w:p>
          <w:p>
            <w:pPr>
              <w:pStyle w:val="null3"/>
              <w:ind w:firstLine="975"/>
            </w:pPr>
            <w:r>
              <w:rPr>
                <w:rFonts w:ascii="仿宋_GB2312" w:hAnsi="仿宋_GB2312" w:cs="仿宋_GB2312" w:eastAsia="仿宋_GB2312"/>
              </w:rPr>
              <w:t>踏勘地点：西安建筑科技大学雁塔校区北院文体馆</w:t>
            </w:r>
          </w:p>
          <w:p>
            <w:pPr>
              <w:pStyle w:val="null3"/>
              <w:ind w:firstLine="975"/>
            </w:pPr>
            <w:r>
              <w:rPr>
                <w:rFonts w:ascii="仿宋_GB2312" w:hAnsi="仿宋_GB2312" w:cs="仿宋_GB2312" w:eastAsia="仿宋_GB2312"/>
              </w:rPr>
              <w:t>联系人：屈工</w:t>
            </w:r>
          </w:p>
          <w:p>
            <w:pPr>
              <w:pStyle w:val="null3"/>
              <w:ind w:firstLine="975"/>
            </w:pPr>
            <w:r>
              <w:rPr>
                <w:rFonts w:ascii="仿宋_GB2312" w:hAnsi="仿宋_GB2312" w:cs="仿宋_GB2312" w:eastAsia="仿宋_GB2312"/>
              </w:rPr>
              <w:t>联系电话号码：17391959019</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西安建筑科技大学</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西安建筑科技大学</w:t>
      </w:r>
      <w:r>
        <w:rPr>
          <w:rFonts w:ascii="仿宋_GB2312" w:hAnsi="仿宋_GB2312" w:cs="仿宋_GB2312" w:eastAsia="仿宋_GB2312"/>
        </w:rPr>
        <w:t>负责解释。除上述磋商文件内容，其他内容由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西安建筑科技大学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以竞争性磋商文件、响应文件及合同要求为准。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联系人：代光艳、刘如拉</w:t>
      </w:r>
    </w:p>
    <w:p>
      <w:pPr>
        <w:pStyle w:val="null3"/>
      </w:pPr>
      <w:r>
        <w:rPr>
          <w:rFonts w:ascii="仿宋_GB2312" w:hAnsi="仿宋_GB2312" w:cs="仿宋_GB2312" w:eastAsia="仿宋_GB2312"/>
        </w:rPr>
        <w:t>联系电话：029-89581863</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3,849,300.00</w:t>
      </w:r>
    </w:p>
    <w:p>
      <w:pPr>
        <w:pStyle w:val="null3"/>
      </w:pPr>
      <w:r>
        <w:rPr>
          <w:rFonts w:ascii="仿宋_GB2312" w:hAnsi="仿宋_GB2312" w:cs="仿宋_GB2312" w:eastAsia="仿宋_GB2312"/>
        </w:rPr>
        <w:t>采购包最高限价（元）: 3,849,300.00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雁塔校区文体馆环境更新改造项目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3,849,300.00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标的名称：雁塔校区文体馆环境更新改造项目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pPr>
            <w:r>
              <w:rPr>
                <w:rFonts w:ascii="仿宋_GB2312" w:hAnsi="仿宋_GB2312" w:cs="仿宋_GB2312" w:eastAsia="仿宋_GB2312"/>
                <w:sz w:val="24"/>
                <w:b/>
                <w:color w:val="000000"/>
              </w:rPr>
              <w:t>一、项目概况</w:t>
            </w:r>
          </w:p>
          <w:p>
            <w:pPr>
              <w:pStyle w:val="null3"/>
              <w:ind w:firstLine="480"/>
            </w:pPr>
            <w:r>
              <w:rPr>
                <w:rFonts w:ascii="仿宋_GB2312" w:hAnsi="仿宋_GB2312" w:cs="仿宋_GB2312" w:eastAsia="仿宋_GB2312"/>
                <w:sz w:val="24"/>
                <w:color w:val="000000"/>
              </w:rPr>
              <w:t>西安建筑科技大学雁塔校区文体馆环境更新改造项目，为迎接</w:t>
            </w:r>
            <w:r>
              <w:rPr>
                <w:rFonts w:ascii="仿宋_GB2312" w:hAnsi="仿宋_GB2312" w:cs="仿宋_GB2312" w:eastAsia="仿宋_GB2312"/>
                <w:sz w:val="24"/>
                <w:color w:val="000000"/>
              </w:rPr>
              <w:t>学校</w:t>
            </w:r>
            <w:r>
              <w:rPr>
                <w:rFonts w:ascii="仿宋_GB2312" w:hAnsi="仿宋_GB2312" w:cs="仿宋_GB2312" w:eastAsia="仿宋_GB2312"/>
                <w:sz w:val="24"/>
                <w:color w:val="000000"/>
              </w:rPr>
              <w:t>70周年校庆，同步打造符合认证标准的专业运动场地，满足训练、竞赛功能需求，保障运动安全与体验，现计划对文体馆进行改造，</w:t>
            </w:r>
            <w:r>
              <w:rPr>
                <w:rFonts w:ascii="仿宋_GB2312" w:hAnsi="仿宋_GB2312" w:cs="仿宋_GB2312" w:eastAsia="仿宋_GB2312"/>
                <w:sz w:val="24"/>
                <w:color w:val="000000"/>
              </w:rPr>
              <w:t>工程内容包含：卫生间增加更衣、盥洗区，全面翻新空间布局，更换节水型洁具与新型给排水系统，升级通风设施，提升卫生间环境，达到现代化卫生标准。场地铺设专业运动木地板，进行门窗、电气、屋面钢结构漏水等基础设施维修；全面满足大型赛事活动、文艺演出及会议的专业需求。</w:t>
            </w:r>
          </w:p>
          <w:p>
            <w:pPr>
              <w:pStyle w:val="null3"/>
              <w:ind w:firstLine="482"/>
              <w:jc w:val="both"/>
            </w:pPr>
            <w:r>
              <w:rPr>
                <w:rFonts w:ascii="仿宋_GB2312" w:hAnsi="仿宋_GB2312" w:cs="仿宋_GB2312" w:eastAsia="仿宋_GB2312"/>
                <w:sz w:val="24"/>
                <w:b/>
                <w:color w:val="000000"/>
              </w:rPr>
              <w:t>二、</w:t>
            </w:r>
            <w:r>
              <w:rPr>
                <w:rFonts w:ascii="仿宋_GB2312" w:hAnsi="仿宋_GB2312" w:cs="仿宋_GB2312" w:eastAsia="仿宋_GB2312"/>
                <w:sz w:val="24"/>
                <w:b/>
                <w:color w:val="000000"/>
              </w:rPr>
              <w:t>工程技术标准及要求</w:t>
            </w:r>
          </w:p>
          <w:p>
            <w:pPr>
              <w:pStyle w:val="null3"/>
              <w:ind w:firstLine="480"/>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项目需执行的国家标准、行业标准、地方标准或者其他标准、规范等：</w:t>
            </w:r>
          </w:p>
          <w:tbl>
            <w:tblPr>
              <w:tblBorders>
                <w:top w:val="none" w:color="000000" w:sz="4"/>
                <w:left w:val="none" w:color="000000" w:sz="4"/>
                <w:bottom w:val="none" w:color="000000" w:sz="4"/>
                <w:right w:val="none" w:color="000000" w:sz="4"/>
                <w:insideH w:val="none"/>
                <w:insideV w:val="none"/>
              </w:tblBorders>
            </w:tblPr>
            <w:tblGrid>
              <w:gridCol w:w="339"/>
              <w:gridCol w:w="2213"/>
            </w:tblGrid>
            <w:tr>
              <w:tc>
                <w:tcPr>
                  <w:tcW w:type="dxa" w:w="3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22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标准、规范、规程名称</w:t>
                  </w:r>
                </w:p>
              </w:tc>
            </w:tr>
            <w:tr>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建筑工程施工质量验收统一标准（</w:t>
                  </w:r>
                  <w:r>
                    <w:rPr>
                      <w:rFonts w:ascii="仿宋_GB2312" w:hAnsi="仿宋_GB2312" w:cs="仿宋_GB2312" w:eastAsia="仿宋_GB2312"/>
                      <w:sz w:val="24"/>
                      <w:color w:val="000000"/>
                    </w:rPr>
                    <w:t>GB50300-2013）</w:t>
                  </w:r>
                </w:p>
              </w:tc>
            </w:tr>
          </w:tbl>
          <w:p>
            <w:pPr>
              <w:pStyle w:val="null3"/>
              <w:ind w:firstLine="48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本工程的施工过程和成果必须符合国家有关工程建设标准强制性条文和国家或有关部门关于工程施工方面现行的标准、规范、规程、定额、办法、示例，以及陕西省关于工程施工方面的文件、规定，同时满足中华人民共和国住建部发布的《工程建设标准强制性条文》的规定。</w:t>
            </w:r>
          </w:p>
          <w:p>
            <w:pPr>
              <w:pStyle w:val="null3"/>
              <w:ind w:firstLine="48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本工程其他技术标准及要求执行现行规范和采购人实际需求。</w:t>
            </w:r>
          </w:p>
          <w:p>
            <w:pPr>
              <w:pStyle w:val="null3"/>
              <w:ind w:firstLine="480"/>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.在施工过程中，如果国家或有关部门颁布了新的技术部分准或规范，则承包人应采用新的标准或规范进行施工。</w:t>
            </w:r>
          </w:p>
          <w:p>
            <w:pPr>
              <w:pStyle w:val="null3"/>
              <w:ind w:firstLine="480"/>
              <w:jc w:val="both"/>
            </w:pPr>
            <w:r>
              <w:rPr>
                <w:rFonts w:ascii="仿宋_GB2312" w:hAnsi="仿宋_GB2312" w:cs="仿宋_GB2312" w:eastAsia="仿宋_GB2312"/>
                <w:sz w:val="24"/>
                <w:color w:val="000000"/>
              </w:rPr>
              <w:t>5</w:t>
            </w:r>
            <w:r>
              <w:rPr>
                <w:rFonts w:ascii="仿宋_GB2312" w:hAnsi="仿宋_GB2312" w:cs="仿宋_GB2312" w:eastAsia="仿宋_GB2312"/>
                <w:sz w:val="24"/>
                <w:color w:val="000000"/>
              </w:rPr>
              <w:t>.采购人提供工程的施工方案和相关技术文件，是采购人现有的能被供应商利用的资料，采购人对供应商做出的任何推论、理解均不负责任。</w:t>
            </w:r>
          </w:p>
          <w:p>
            <w:pPr>
              <w:pStyle w:val="null3"/>
              <w:ind w:firstLine="480"/>
              <w:jc w:val="left"/>
            </w:pPr>
            <w:r>
              <w:rPr>
                <w:rFonts w:ascii="仿宋_GB2312" w:hAnsi="仿宋_GB2312" w:cs="仿宋_GB2312" w:eastAsia="仿宋_GB2312"/>
                <w:sz w:val="24"/>
                <w:color w:val="000000"/>
              </w:rPr>
              <w:t>6</w:t>
            </w:r>
            <w:r>
              <w:rPr>
                <w:rFonts w:ascii="仿宋_GB2312" w:hAnsi="仿宋_GB2312" w:cs="仿宋_GB2312" w:eastAsia="仿宋_GB2312"/>
                <w:sz w:val="24"/>
                <w:color w:val="000000"/>
              </w:rPr>
              <w:t>.供应商应先到工程地点踏勘以充分了解工地位置、地质情况、进出场道路、拆迁干扰、储存空间、运输能力、装卸限制、行车干扰及任何其它足以影响承包价格的情况，了解施工规范、标准以及施工现场实际等情况，并应考虑现有人、材、机市场水平和供应、投标风险、不利的施工因素等，任何因忽视或误解工地情况而导致的索赔或工期延长申请将不获批准。</w:t>
            </w:r>
          </w:p>
          <w:p>
            <w:pPr>
              <w:pStyle w:val="null3"/>
              <w:ind w:firstLine="480"/>
              <w:jc w:val="both"/>
            </w:pPr>
            <w:r>
              <w:rPr>
                <w:rFonts w:ascii="仿宋_GB2312" w:hAnsi="仿宋_GB2312" w:cs="仿宋_GB2312" w:eastAsia="仿宋_GB2312"/>
                <w:sz w:val="24"/>
                <w:color w:val="000000"/>
              </w:rPr>
              <w:t>7</w:t>
            </w:r>
            <w:r>
              <w:rPr>
                <w:rFonts w:ascii="仿宋_GB2312" w:hAnsi="仿宋_GB2312" w:cs="仿宋_GB2312" w:eastAsia="仿宋_GB2312"/>
                <w:sz w:val="24"/>
                <w:color w:val="000000"/>
              </w:rPr>
              <w:t>.本项目运动木地板工程全部施工完工、场地清理完毕后，由</w:t>
            </w:r>
            <w:r>
              <w:rPr>
                <w:rFonts w:ascii="仿宋_GB2312" w:hAnsi="仿宋_GB2312" w:cs="仿宋_GB2312" w:eastAsia="仿宋_GB2312"/>
                <w:sz w:val="24"/>
                <w:color w:val="000000"/>
              </w:rPr>
              <w:t>采购人</w:t>
            </w:r>
            <w:r>
              <w:rPr>
                <w:rFonts w:ascii="仿宋_GB2312" w:hAnsi="仿宋_GB2312" w:cs="仿宋_GB2312" w:eastAsia="仿宋_GB2312"/>
                <w:sz w:val="24"/>
                <w:color w:val="000000"/>
              </w:rPr>
              <w:t>自主选定具备</w:t>
            </w:r>
            <w:r>
              <w:rPr>
                <w:rFonts w:ascii="仿宋_GB2312" w:hAnsi="仿宋_GB2312" w:cs="仿宋_GB2312" w:eastAsia="仿宋_GB2312"/>
                <w:sz w:val="24"/>
                <w:color w:val="000000"/>
              </w:rPr>
              <w:t>CMA资质的第三方专业检测机构开展场地运动性能现场检测，检测依据、判定标准及试验方法遵照现行有效国家标准：GB/T 22517.1-2024《体育场地使用要求及检验方法第1部分：综合体育场馆木地板场地》、GB/T 20239-2023《体育馆用木质地板》，检测项目、检测点位、均按上述标准载明的检验方法实施。第三方检测机构出具的加盖CMA印章的正式检测报告作为本项目竣工验收的核心依据。</w:t>
            </w:r>
          </w:p>
          <w:p>
            <w:pPr>
              <w:pStyle w:val="null3"/>
              <w:ind w:firstLine="480"/>
              <w:jc w:val="both"/>
            </w:pPr>
            <w:r>
              <w:rPr>
                <w:rFonts w:ascii="仿宋_GB2312" w:hAnsi="仿宋_GB2312" w:cs="仿宋_GB2312" w:eastAsia="仿宋_GB2312"/>
                <w:sz w:val="24"/>
                <w:color w:val="000000"/>
              </w:rPr>
              <w:t>8.</w:t>
            </w:r>
            <w:r>
              <w:rPr>
                <w:rFonts w:ascii="仿宋_GB2312" w:hAnsi="仿宋_GB2312" w:cs="仿宋_GB2312" w:eastAsia="仿宋_GB2312"/>
                <w:sz w:val="24"/>
                <w:color w:val="000000"/>
              </w:rPr>
              <w:t>供应商取得验收手续后，及时通知采购人验收，并按采购人的要求提交竣工验收申请报告及竣工资料，采购人应及时组织验收，并在验收后</w:t>
            </w:r>
            <w:r>
              <w:rPr>
                <w:rFonts w:ascii="仿宋_GB2312" w:hAnsi="仿宋_GB2312" w:cs="仿宋_GB2312" w:eastAsia="仿宋_GB2312"/>
                <w:sz w:val="24"/>
                <w:color w:val="000000"/>
              </w:rPr>
              <w:t>10个工作日内作出合格或不合格的验收意见，验收不合格的，供应商应返工，直至采购人验收合格为止，返工的一切费用由供应商承担，且工期不予顺延。如供应商在规定时间内未能组织验收的，需及时通知采购人，双方另行商定验收日期。</w:t>
            </w:r>
          </w:p>
          <w:p>
            <w:pPr>
              <w:pStyle w:val="null3"/>
              <w:ind w:firstLine="480"/>
              <w:jc w:val="both"/>
            </w:pPr>
            <w:r>
              <w:rPr>
                <w:rFonts w:ascii="仿宋_GB2312" w:hAnsi="仿宋_GB2312" w:cs="仿宋_GB2312" w:eastAsia="仿宋_GB2312"/>
                <w:sz w:val="24"/>
                <w:color w:val="000000"/>
              </w:rPr>
              <w:t>9</w:t>
            </w:r>
            <w:r>
              <w:rPr>
                <w:rFonts w:ascii="仿宋_GB2312" w:hAnsi="仿宋_GB2312" w:cs="仿宋_GB2312" w:eastAsia="仿宋_GB2312"/>
                <w:sz w:val="24"/>
                <w:color w:val="000000"/>
              </w:rPr>
              <w:t>.成交供应商未经采购人及有关部门同意，不得擅自变更本项目在竞争性磋商过程承诺中认定的采购范围、实施组织方案和项目经理（响应文件中应明确项目经理的姓名及联系方法，以备检查）</w:t>
            </w:r>
          </w:p>
          <w:p>
            <w:pPr>
              <w:pStyle w:val="null3"/>
              <w:ind w:firstLine="480"/>
              <w:jc w:val="both"/>
            </w:pPr>
            <w:r>
              <w:rPr>
                <w:rFonts w:ascii="仿宋_GB2312" w:hAnsi="仿宋_GB2312" w:cs="仿宋_GB2312" w:eastAsia="仿宋_GB2312"/>
                <w:sz w:val="24"/>
                <w:color w:val="000000"/>
              </w:rPr>
              <w:t>10</w:t>
            </w:r>
            <w:r>
              <w:rPr>
                <w:rFonts w:ascii="仿宋_GB2312" w:hAnsi="仿宋_GB2312" w:cs="仿宋_GB2312" w:eastAsia="仿宋_GB2312"/>
                <w:sz w:val="24"/>
                <w:color w:val="000000"/>
              </w:rPr>
              <w:t>.成交供应商必须自行施工，不得转包、分包。</w:t>
            </w:r>
          </w:p>
          <w:p>
            <w:pPr>
              <w:pStyle w:val="null3"/>
              <w:ind w:firstLine="480"/>
              <w:jc w:val="both"/>
            </w:pPr>
            <w:r>
              <w:rPr>
                <w:rFonts w:ascii="仿宋_GB2312" w:hAnsi="仿宋_GB2312" w:cs="仿宋_GB2312" w:eastAsia="仿宋_GB2312"/>
                <w:sz w:val="24"/>
                <w:color w:val="000000"/>
              </w:rPr>
              <w:t>11</w:t>
            </w:r>
            <w:r>
              <w:rPr>
                <w:rFonts w:ascii="仿宋_GB2312" w:hAnsi="仿宋_GB2312" w:cs="仿宋_GB2312" w:eastAsia="仿宋_GB2312"/>
                <w:sz w:val="24"/>
                <w:color w:val="000000"/>
              </w:rPr>
              <w:t>.成交供应商在施工过程中不得影响学校的日常生活、工作秩序。</w:t>
            </w:r>
          </w:p>
          <w:p>
            <w:pPr>
              <w:pStyle w:val="null3"/>
              <w:ind w:firstLine="480"/>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2</w:t>
            </w:r>
            <w:r>
              <w:rPr>
                <w:rFonts w:ascii="仿宋_GB2312" w:hAnsi="仿宋_GB2312" w:cs="仿宋_GB2312" w:eastAsia="仿宋_GB2312"/>
                <w:sz w:val="24"/>
                <w:color w:val="000000"/>
              </w:rPr>
              <w:t>.现场垃圾清运、治污减霾工作由成交供应商全权负责，供应商应负责做好项目的扬尘防治工作及垃圾清运工作。</w:t>
            </w:r>
          </w:p>
          <w:p>
            <w:pPr>
              <w:pStyle w:val="null3"/>
              <w:ind w:firstLine="482"/>
              <w:jc w:val="both"/>
            </w:pPr>
            <w:r>
              <w:rPr>
                <w:rFonts w:ascii="仿宋_GB2312" w:hAnsi="仿宋_GB2312" w:cs="仿宋_GB2312" w:eastAsia="仿宋_GB2312"/>
                <w:sz w:val="24"/>
                <w:b/>
                <w:color w:val="000000"/>
              </w:rPr>
              <w:t>二</w:t>
            </w:r>
            <w:r>
              <w:rPr>
                <w:rFonts w:ascii="仿宋_GB2312" w:hAnsi="仿宋_GB2312" w:cs="仿宋_GB2312" w:eastAsia="仿宋_GB2312"/>
                <w:sz w:val="24"/>
                <w:b/>
                <w:color w:val="000000"/>
              </w:rPr>
              <w:t>、工程量清单、图纸及主要材料</w:t>
            </w:r>
          </w:p>
          <w:p>
            <w:pPr>
              <w:pStyle w:val="null3"/>
              <w:ind w:firstLine="482"/>
              <w:jc w:val="both"/>
            </w:pPr>
            <w:r>
              <w:rPr>
                <w:rFonts w:ascii="仿宋_GB2312" w:hAnsi="仿宋_GB2312" w:cs="仿宋_GB2312" w:eastAsia="仿宋_GB2312"/>
                <w:sz w:val="24"/>
                <w:b/>
                <w:color w:val="000000"/>
              </w:rPr>
              <w:t>（一）工程量清单：</w:t>
            </w:r>
            <w:r>
              <w:rPr>
                <w:rFonts w:ascii="仿宋_GB2312" w:hAnsi="仿宋_GB2312" w:cs="仿宋_GB2312" w:eastAsia="仿宋_GB2312"/>
                <w:sz w:val="24"/>
                <w:color w:val="000000"/>
              </w:rPr>
              <w:t>详见附件。</w:t>
            </w:r>
          </w:p>
          <w:p>
            <w:pPr>
              <w:pStyle w:val="null3"/>
              <w:ind w:firstLine="482"/>
              <w:jc w:val="both"/>
            </w:pPr>
            <w:r>
              <w:rPr>
                <w:rFonts w:ascii="仿宋_GB2312" w:hAnsi="仿宋_GB2312" w:cs="仿宋_GB2312" w:eastAsia="仿宋_GB2312"/>
                <w:sz w:val="24"/>
                <w:b/>
                <w:color w:val="000000"/>
              </w:rPr>
              <w:t>（二）图纸：</w:t>
            </w:r>
            <w:r>
              <w:rPr>
                <w:rFonts w:ascii="仿宋_GB2312" w:hAnsi="仿宋_GB2312" w:cs="仿宋_GB2312" w:eastAsia="仿宋_GB2312"/>
                <w:sz w:val="24"/>
                <w:color w:val="000000"/>
              </w:rPr>
              <w:t>详见附件。</w:t>
            </w:r>
          </w:p>
          <w:p>
            <w:pPr>
              <w:pStyle w:val="null3"/>
              <w:ind w:firstLine="482"/>
              <w:jc w:val="both"/>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三</w:t>
            </w:r>
            <w:r>
              <w:rPr>
                <w:rFonts w:ascii="仿宋_GB2312" w:hAnsi="仿宋_GB2312" w:cs="仿宋_GB2312" w:eastAsia="仿宋_GB2312"/>
                <w:sz w:val="24"/>
                <w:b/>
                <w:color w:val="000000"/>
              </w:rPr>
              <w:t>）主要材料技术参数要求</w:t>
            </w:r>
          </w:p>
          <w:tbl>
            <w:tblPr>
              <w:tblBorders>
                <w:top w:val="none" w:color="000000" w:sz="4"/>
                <w:left w:val="none" w:color="000000" w:sz="4"/>
                <w:bottom w:val="none" w:color="000000" w:sz="4"/>
                <w:right w:val="none" w:color="000000" w:sz="4"/>
                <w:insideH w:val="none"/>
                <w:insideV w:val="none"/>
              </w:tblBorders>
            </w:tblPr>
            <w:tblGrid>
              <w:gridCol w:w="257"/>
              <w:gridCol w:w="221"/>
              <w:gridCol w:w="347"/>
              <w:gridCol w:w="1728"/>
            </w:tblGrid>
            <w:tr>
              <w:tc>
                <w:tcPr>
                  <w:tcW w:type="dxa" w:w="2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2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类别</w:t>
                  </w:r>
                </w:p>
              </w:tc>
              <w:tc>
                <w:tcPr>
                  <w:tcW w:type="dxa" w:w="3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材料</w:t>
                  </w:r>
                </w:p>
                <w:p>
                  <w:pPr>
                    <w:pStyle w:val="null3"/>
                    <w:jc w:val="center"/>
                  </w:pPr>
                  <w:r>
                    <w:rPr>
                      <w:rFonts w:ascii="仿宋_GB2312" w:hAnsi="仿宋_GB2312" w:cs="仿宋_GB2312" w:eastAsia="仿宋_GB2312"/>
                      <w:sz w:val="24"/>
                      <w:b/>
                      <w:color w:val="000000"/>
                    </w:rPr>
                    <w:t>名称</w:t>
                  </w:r>
                </w:p>
              </w:tc>
              <w:tc>
                <w:tcPr>
                  <w:tcW w:type="dxa" w:w="17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参数、标准、要求</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2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装饰装修</w:t>
                  </w: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乳胶漆</w:t>
                  </w:r>
                </w:p>
              </w:tc>
              <w:tc>
                <w:tcPr>
                  <w:tcW w:type="dxa" w:w="1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1.乳胶漆挥发性有机化合物含量（60°光泽≤10）≤50g/L</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乳胶漆挥发性有机化合物含量（</w:t>
                  </w:r>
                  <w:r>
                    <w:rPr>
                      <w:rFonts w:ascii="仿宋_GB2312" w:hAnsi="仿宋_GB2312" w:cs="仿宋_GB2312" w:eastAsia="仿宋_GB2312"/>
                      <w:sz w:val="24"/>
                      <w:color w:val="000000"/>
                    </w:rPr>
                    <w:t>60°光泽＞10）≤80g/L</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3.乳胶漆甲醛含量（乙酰丙酮法）≤30mg/kg</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4.乳胶漆苯、甲苯、乙苯、二甲苯总和≤80mg/kg</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5.耐洗刷性：≥6000次</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6.非工程款竹炭净味漆，</w:t>
                  </w:r>
                  <w:r>
                    <w:rPr>
                      <w:rFonts w:ascii="仿宋_GB2312" w:hAnsi="仿宋_GB2312" w:cs="仿宋_GB2312" w:eastAsia="仿宋_GB2312"/>
                      <w:sz w:val="24"/>
                      <w:color w:val="000000"/>
                    </w:rPr>
                    <w:t>甲醛净化效率</w:t>
                  </w:r>
                  <w:r>
                    <w:rPr>
                      <w:rFonts w:ascii="仿宋_GB2312" w:hAnsi="仿宋_GB2312" w:cs="仿宋_GB2312" w:eastAsia="仿宋_GB2312"/>
                      <w:sz w:val="24"/>
                      <w:color w:val="000000"/>
                    </w:rPr>
                    <w:t>≥80%，竹炭颗粒细度≤50纳米，VOC≤10g/L，符合GB18582-2020标准，未添加香精、溶剂，游离甲醛≤5mg/kg，通过CNAS认证，</w:t>
                  </w:r>
                  <w:r>
                    <w:rPr>
                      <w:rFonts w:ascii="仿宋_GB2312" w:hAnsi="仿宋_GB2312" w:cs="仿宋_GB2312" w:eastAsia="仿宋_GB2312"/>
                      <w:sz w:val="24"/>
                      <w:color w:val="000000"/>
                    </w:rPr>
                    <w:t>节能环保产品，符合本项目工程量清单、施工图纸相关要求，符合</w:t>
                  </w:r>
                  <w:r>
                    <w:rPr>
                      <w:rFonts w:ascii="仿宋_GB2312" w:hAnsi="仿宋_GB2312" w:cs="仿宋_GB2312" w:eastAsia="仿宋_GB2312"/>
                      <w:sz w:val="24"/>
                      <w:color w:val="000000"/>
                    </w:rPr>
                    <w:t>国家相关标准、规范</w:t>
                  </w:r>
                  <w:r>
                    <w:rPr>
                      <w:rFonts w:ascii="仿宋_GB2312" w:hAnsi="仿宋_GB2312" w:cs="仿宋_GB2312" w:eastAsia="仿宋_GB2312"/>
                      <w:sz w:val="24"/>
                      <w:color w:val="000000"/>
                    </w:rPr>
                    <w:t>；</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21"/>
                  <w:vMerge/>
                  <w:tcBorders>
                    <w:top w:val="none" w:color="000000" w:sz="4"/>
                    <w:left w:val="single" w:color="000000" w:sz="4"/>
                    <w:bottom w:val="single" w:color="000000" w:sz="4"/>
                    <w:right w:val="single" w:color="000000" w:sz="4"/>
                  </w:tcBorders>
                </w:tcP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墙地</w:t>
                  </w:r>
                </w:p>
                <w:p>
                  <w:pPr>
                    <w:pStyle w:val="null3"/>
                    <w:jc w:val="center"/>
                  </w:pPr>
                  <w:r>
                    <w:rPr>
                      <w:rFonts w:ascii="仿宋_GB2312" w:hAnsi="仿宋_GB2312" w:cs="仿宋_GB2312" w:eastAsia="仿宋_GB2312"/>
                      <w:sz w:val="24"/>
                      <w:color w:val="000000"/>
                    </w:rPr>
                    <w:t>瓷砖</w:t>
                  </w:r>
                </w:p>
              </w:tc>
              <w:tc>
                <w:tcPr>
                  <w:tcW w:type="dxa" w:w="1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1.通过3C认证，执行标准GB/T4100-2015附录G，干压陶瓷E≤0.5%BIa类M，吸水率≤0.5%，摩擦系数≥0.5，符合GB6566-2010建筑材料放射性核素限量中放射性水平A类。</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产品内照射指数</w:t>
                  </w:r>
                  <w:r>
                    <w:rPr>
                      <w:rFonts w:ascii="仿宋_GB2312" w:hAnsi="仿宋_GB2312" w:cs="仿宋_GB2312" w:eastAsia="仿宋_GB2312"/>
                      <w:sz w:val="24"/>
                      <w:color w:val="000000"/>
                    </w:rPr>
                    <w:t>IRa≤0.9</w:t>
                  </w:r>
                  <w:r>
                    <w:rPr>
                      <w:rFonts w:ascii="仿宋_GB2312" w:hAnsi="仿宋_GB2312" w:cs="仿宋_GB2312" w:eastAsia="仿宋_GB2312"/>
                      <w:sz w:val="24"/>
                      <w:color w:val="000000"/>
                    </w:rPr>
                    <w:t>，</w:t>
                  </w:r>
                  <w:r>
                    <w:rPr>
                      <w:rFonts w:ascii="仿宋_GB2312" w:hAnsi="仿宋_GB2312" w:cs="仿宋_GB2312" w:eastAsia="仿宋_GB2312"/>
                      <w:sz w:val="24"/>
                      <w:color w:val="000000"/>
                    </w:rPr>
                    <w:t>外照射指数</w:t>
                  </w:r>
                  <w:r>
                    <w:rPr>
                      <w:rFonts w:ascii="仿宋_GB2312" w:hAnsi="仿宋_GB2312" w:cs="仿宋_GB2312" w:eastAsia="仿宋_GB2312"/>
                      <w:sz w:val="24"/>
                      <w:color w:val="000000"/>
                    </w:rPr>
                    <w:t>Ir≤1.2</w:t>
                  </w:r>
                  <w:r>
                    <w:rPr>
                      <w:rFonts w:ascii="仿宋_GB2312" w:hAnsi="仿宋_GB2312" w:cs="仿宋_GB2312" w:eastAsia="仿宋_GB2312"/>
                      <w:sz w:val="24"/>
                      <w:color w:val="000000"/>
                    </w:rPr>
                    <w:t>，</w:t>
                  </w:r>
                  <w:r>
                    <w:rPr>
                      <w:rFonts w:ascii="仿宋_GB2312" w:hAnsi="仿宋_GB2312" w:cs="仿宋_GB2312" w:eastAsia="仿宋_GB2312"/>
                      <w:sz w:val="24"/>
                      <w:color w:val="000000"/>
                    </w:rPr>
                    <w:t>耐污染性</w:t>
                  </w:r>
                  <w:r>
                    <w:rPr>
                      <w:rFonts w:ascii="仿宋_GB2312" w:hAnsi="仿宋_GB2312" w:cs="仿宋_GB2312" w:eastAsia="仿宋_GB2312"/>
                      <w:sz w:val="24"/>
                      <w:color w:val="000000"/>
                    </w:rPr>
                    <w:t>≥3 级</w:t>
                  </w:r>
                  <w:r>
                    <w:rPr>
                      <w:rFonts w:ascii="仿宋_GB2312" w:hAnsi="仿宋_GB2312" w:cs="仿宋_GB2312" w:eastAsia="仿宋_GB2312"/>
                      <w:sz w:val="24"/>
                      <w:color w:val="000000"/>
                    </w:rPr>
                    <w:t>，</w:t>
                  </w:r>
                  <w:r>
                    <w:rPr>
                      <w:rFonts w:ascii="仿宋_GB2312" w:hAnsi="仿宋_GB2312" w:cs="仿宋_GB2312" w:eastAsia="仿宋_GB2312"/>
                      <w:sz w:val="24"/>
                      <w:color w:val="000000"/>
                    </w:rPr>
                    <w:t>节能环保产品，符合本项目工程量清单、施工图纸相关要求，符合</w:t>
                  </w:r>
                  <w:r>
                    <w:rPr>
                      <w:rFonts w:ascii="仿宋_GB2312" w:hAnsi="仿宋_GB2312" w:cs="仿宋_GB2312" w:eastAsia="仿宋_GB2312"/>
                      <w:sz w:val="24"/>
                      <w:color w:val="000000"/>
                    </w:rPr>
                    <w:t>国家相关标准、规范</w:t>
                  </w:r>
                  <w:r>
                    <w:rPr>
                      <w:rFonts w:ascii="仿宋_GB2312" w:hAnsi="仿宋_GB2312" w:cs="仿宋_GB2312" w:eastAsia="仿宋_GB2312"/>
                      <w:sz w:val="24"/>
                      <w:color w:val="000000"/>
                    </w:rPr>
                    <w:t>；</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221"/>
                  <w:vMerge/>
                  <w:tcBorders>
                    <w:top w:val="none" w:color="000000" w:sz="4"/>
                    <w:left w:val="single" w:color="000000" w:sz="4"/>
                    <w:bottom w:val="single" w:color="000000" w:sz="4"/>
                    <w:right w:val="single" w:color="000000" w:sz="4"/>
                  </w:tcBorders>
                </w:tcP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不锈钢</w:t>
                  </w:r>
                </w:p>
              </w:tc>
              <w:tc>
                <w:tcPr>
                  <w:tcW w:type="dxa" w:w="1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1.2mm厚304哑光不锈钢,节能环保产品，符合本项目工程量清单、施工图纸相关要求，符合</w:t>
                  </w:r>
                  <w:r>
                    <w:rPr>
                      <w:rFonts w:ascii="仿宋_GB2312" w:hAnsi="仿宋_GB2312" w:cs="仿宋_GB2312" w:eastAsia="仿宋_GB2312"/>
                      <w:sz w:val="24"/>
                      <w:color w:val="000000"/>
                    </w:rPr>
                    <w:t>国家相关标准、规范</w:t>
                  </w:r>
                  <w:r>
                    <w:rPr>
                      <w:rFonts w:ascii="仿宋_GB2312" w:hAnsi="仿宋_GB2312" w:cs="仿宋_GB2312" w:eastAsia="仿宋_GB2312"/>
                      <w:sz w:val="24"/>
                      <w:color w:val="000000"/>
                    </w:rPr>
                    <w:t>；</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221"/>
                  <w:vMerge/>
                  <w:tcBorders>
                    <w:top w:val="none" w:color="000000" w:sz="4"/>
                    <w:left w:val="single" w:color="000000" w:sz="4"/>
                    <w:bottom w:val="single" w:color="000000" w:sz="4"/>
                    <w:right w:val="single" w:color="000000" w:sz="4"/>
                  </w:tcBorders>
                </w:tcP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人造石</w:t>
                  </w:r>
                </w:p>
              </w:tc>
              <w:tc>
                <w:tcPr>
                  <w:tcW w:type="dxa" w:w="1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20、18mm厚，防水、防渗、防霉，抗压≥160MPa，抗冲击≥15kg/㎡，弯曲强度≥40MPa，耐磨≤0.02g/cm</w:t>
                  </w:r>
                  <w:r>
                    <w:rPr>
                      <w:rFonts w:ascii="仿宋_GB2312" w:hAnsi="仿宋_GB2312" w:cs="仿宋_GB2312" w:eastAsia="仿宋_GB2312"/>
                      <w:sz w:val="24"/>
                      <w:color w:val="000000"/>
                      <w:vertAlign w:val="superscript"/>
                    </w:rPr>
                    <w:t>2</w:t>
                  </w:r>
                  <w:r>
                    <w:rPr>
                      <w:rFonts w:ascii="仿宋_GB2312" w:hAnsi="仿宋_GB2312" w:cs="仿宋_GB2312" w:eastAsia="仿宋_GB2312"/>
                      <w:sz w:val="24"/>
                      <w:color w:val="000000"/>
                    </w:rPr>
                    <w:t>，抗菌率</w:t>
                  </w:r>
                  <w:r>
                    <w:rPr>
                      <w:rFonts w:ascii="仿宋_GB2312" w:hAnsi="仿宋_GB2312" w:cs="仿宋_GB2312" w:eastAsia="仿宋_GB2312"/>
                      <w:sz w:val="24"/>
                      <w:color w:val="000000"/>
                    </w:rPr>
                    <w:t>≥99%，耐温差-20℃~120℃，耐酸碱10%盐酸，耐污≥4级，甲醛符合GB18580-2017，E0级≤0.05mg/m³，VOC含量≤100g/L，放射性核素内照≤1.0外照≤1.3，符合</w:t>
                  </w:r>
                  <w:r>
                    <w:rPr>
                      <w:rFonts w:ascii="仿宋_GB2312" w:hAnsi="仿宋_GB2312" w:cs="仿宋_GB2312" w:eastAsia="仿宋_GB2312"/>
                      <w:sz w:val="24"/>
                      <w:color w:val="000000"/>
                    </w:rPr>
                    <w:t>国家相关标准、规范</w:t>
                  </w:r>
                  <w:r>
                    <w:rPr>
                      <w:rFonts w:ascii="仿宋_GB2312" w:hAnsi="仿宋_GB2312" w:cs="仿宋_GB2312" w:eastAsia="仿宋_GB2312"/>
                      <w:sz w:val="24"/>
                      <w:color w:val="000000"/>
                    </w:rPr>
                    <w:t>，</w:t>
                  </w:r>
                  <w:r>
                    <w:rPr>
                      <w:rFonts w:ascii="仿宋_GB2312" w:hAnsi="仿宋_GB2312" w:cs="仿宋_GB2312" w:eastAsia="仿宋_GB2312"/>
                      <w:sz w:val="24"/>
                      <w:color w:val="000000"/>
                    </w:rPr>
                    <w:t>满足设计需求；</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221"/>
                  <w:vMerge/>
                  <w:tcBorders>
                    <w:top w:val="none" w:color="000000" w:sz="4"/>
                    <w:left w:val="single" w:color="000000" w:sz="4"/>
                    <w:bottom w:val="single" w:color="000000" w:sz="4"/>
                    <w:right w:val="single" w:color="000000" w:sz="4"/>
                  </w:tcBorders>
                </w:tcP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阻燃木工板</w:t>
                  </w:r>
                </w:p>
              </w:tc>
              <w:tc>
                <w:tcPr>
                  <w:tcW w:type="dxa" w:w="1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15mm厚，节能环保产品，符合本项目工程量清单、施工图纸相关要求，符合</w:t>
                  </w:r>
                  <w:r>
                    <w:rPr>
                      <w:rFonts w:ascii="仿宋_GB2312" w:hAnsi="仿宋_GB2312" w:cs="仿宋_GB2312" w:eastAsia="仿宋_GB2312"/>
                      <w:sz w:val="24"/>
                      <w:color w:val="000000"/>
                    </w:rPr>
                    <w:t>国家相关标准、规范</w:t>
                  </w:r>
                  <w:r>
                    <w:rPr>
                      <w:rFonts w:ascii="仿宋_GB2312" w:hAnsi="仿宋_GB2312" w:cs="仿宋_GB2312" w:eastAsia="仿宋_GB2312"/>
                      <w:sz w:val="24"/>
                      <w:color w:val="000000"/>
                    </w:rPr>
                    <w:t>；</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221"/>
                  <w:vMerge/>
                  <w:tcBorders>
                    <w:top w:val="none" w:color="000000" w:sz="4"/>
                    <w:left w:val="single" w:color="000000" w:sz="4"/>
                    <w:bottom w:val="single" w:color="000000" w:sz="4"/>
                    <w:right w:val="single" w:color="000000" w:sz="4"/>
                  </w:tcBorders>
                </w:tcP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石膏板</w:t>
                  </w:r>
                </w:p>
              </w:tc>
              <w:tc>
                <w:tcPr>
                  <w:tcW w:type="dxa" w:w="1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9/12mm厚节能环保产品，符合本项目工程量清单、施工图纸相关要求，符合</w:t>
                  </w:r>
                  <w:r>
                    <w:rPr>
                      <w:rFonts w:ascii="仿宋_GB2312" w:hAnsi="仿宋_GB2312" w:cs="仿宋_GB2312" w:eastAsia="仿宋_GB2312"/>
                      <w:sz w:val="24"/>
                      <w:color w:val="000000"/>
                    </w:rPr>
                    <w:t>国家相关标准、规范</w:t>
                  </w:r>
                  <w:r>
                    <w:rPr>
                      <w:rFonts w:ascii="仿宋_GB2312" w:hAnsi="仿宋_GB2312" w:cs="仿宋_GB2312" w:eastAsia="仿宋_GB2312"/>
                      <w:sz w:val="24"/>
                      <w:color w:val="000000"/>
                    </w:rPr>
                    <w:t>；</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221"/>
                  <w:vMerge/>
                  <w:tcBorders>
                    <w:top w:val="none" w:color="000000" w:sz="4"/>
                    <w:left w:val="single" w:color="000000" w:sz="4"/>
                    <w:bottom w:val="single" w:color="000000" w:sz="4"/>
                    <w:right w:val="single" w:color="000000" w:sz="4"/>
                  </w:tcBorders>
                </w:tcP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轻钢龙骨</w:t>
                  </w:r>
                </w:p>
              </w:tc>
              <w:tc>
                <w:tcPr>
                  <w:tcW w:type="dxa" w:w="1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节能环保产品，符合本项目工程量清单、施工图纸相关要求，</w:t>
                  </w:r>
                  <w:r>
                    <w:rPr>
                      <w:rFonts w:ascii="仿宋_GB2312" w:hAnsi="仿宋_GB2312" w:cs="仿宋_GB2312" w:eastAsia="仿宋_GB2312"/>
                      <w:sz w:val="24"/>
                      <w:color w:val="000000"/>
                    </w:rPr>
                    <w:t>符合国家相关标准、规范</w:t>
                  </w:r>
                  <w:r>
                    <w:rPr>
                      <w:rFonts w:ascii="仿宋_GB2312" w:hAnsi="仿宋_GB2312" w:cs="仿宋_GB2312" w:eastAsia="仿宋_GB2312"/>
                      <w:sz w:val="24"/>
                      <w:color w:val="000000"/>
                    </w:rPr>
                    <w:t>；</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221"/>
                  <w:vMerge/>
                  <w:tcBorders>
                    <w:top w:val="none" w:color="000000" w:sz="4"/>
                    <w:left w:val="single" w:color="000000" w:sz="4"/>
                    <w:bottom w:val="single" w:color="000000" w:sz="4"/>
                    <w:right w:val="single" w:color="000000" w:sz="4"/>
                  </w:tcBorders>
                </w:tcP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铝扣板</w:t>
                  </w:r>
                </w:p>
              </w:tc>
              <w:tc>
                <w:tcPr>
                  <w:tcW w:type="dxa" w:w="1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1.2mm厚，节能环保产品，符合本项目工程量清单、施工图纸相关要求，符合国家相关标准、规范；</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221"/>
                  <w:vMerge/>
                  <w:tcBorders>
                    <w:top w:val="none" w:color="000000" w:sz="4"/>
                    <w:left w:val="single" w:color="000000" w:sz="4"/>
                    <w:bottom w:val="single" w:color="000000" w:sz="4"/>
                    <w:right w:val="single" w:color="000000" w:sz="4"/>
                  </w:tcBorders>
                </w:tcP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玻璃胶</w:t>
                  </w:r>
                </w:p>
              </w:tc>
              <w:tc>
                <w:tcPr>
                  <w:tcW w:type="dxa" w:w="1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1.单位产品总挥发性有机物（TVOC）含量≤80g/kg</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2.烷烃增塑剂（红外光谱）不得检出</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3. 密封胶分级达到 20HM、25HM、20LM</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4.符合《胶粘剂中有害物质限量》</w:t>
                  </w:r>
                  <w:r>
                    <w:rPr>
                      <w:rFonts w:ascii="仿宋_GB2312" w:hAnsi="仿宋_GB2312" w:cs="仿宋_GB2312" w:eastAsia="仿宋_GB2312"/>
                      <w:sz w:val="24"/>
                      <w:color w:val="000000"/>
                    </w:rPr>
                    <w:t>GB</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18583-2008</w:t>
                  </w:r>
                  <w:r>
                    <w:rPr>
                      <w:rFonts w:ascii="仿宋_GB2312" w:hAnsi="仿宋_GB2312" w:cs="仿宋_GB2312" w:eastAsia="仿宋_GB2312"/>
                      <w:sz w:val="24"/>
                      <w:color w:val="000000"/>
                    </w:rPr>
                    <w:t>；</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221"/>
                  <w:vMerge/>
                  <w:tcBorders>
                    <w:top w:val="none" w:color="000000" w:sz="4"/>
                    <w:left w:val="single" w:color="000000" w:sz="4"/>
                    <w:bottom w:val="single" w:color="000000" w:sz="4"/>
                    <w:right w:val="single" w:color="000000" w:sz="4"/>
                  </w:tcBorders>
                </w:tcP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结构胶</w:t>
                  </w:r>
                </w:p>
              </w:tc>
              <w:tc>
                <w:tcPr>
                  <w:tcW w:type="dxa" w:w="1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1.单位产品总挥发性有机物（TVOC）含量≤80g/kg</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2.烷烃增塑剂（红外光谱）不得检出</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3.23℃拉伸粘结强度标准值≥0.6MPa</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4.粘结破坏面积≤5%</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4.符合《胶粘剂中有害物质限量》</w:t>
                  </w:r>
                  <w:r>
                    <w:rPr>
                      <w:rFonts w:ascii="仿宋_GB2312" w:hAnsi="仿宋_GB2312" w:cs="仿宋_GB2312" w:eastAsia="仿宋_GB2312"/>
                      <w:sz w:val="24"/>
                      <w:color w:val="000000"/>
                    </w:rPr>
                    <w:t>GB</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18583-2008</w:t>
                  </w:r>
                  <w:r>
                    <w:rPr>
                      <w:rFonts w:ascii="仿宋_GB2312" w:hAnsi="仿宋_GB2312" w:cs="仿宋_GB2312" w:eastAsia="仿宋_GB2312"/>
                      <w:sz w:val="24"/>
                      <w:color w:val="000000"/>
                    </w:rPr>
                    <w:t>及</w:t>
                  </w:r>
                  <w:r>
                    <w:rPr>
                      <w:rFonts w:ascii="仿宋_GB2312" w:hAnsi="仿宋_GB2312" w:cs="仿宋_GB2312" w:eastAsia="仿宋_GB2312"/>
                      <w:sz w:val="24"/>
                      <w:color w:val="000000"/>
                    </w:rPr>
                    <w:t>国家现行规范</w:t>
                  </w:r>
                  <w:r>
                    <w:rPr>
                      <w:rFonts w:ascii="仿宋_GB2312" w:hAnsi="仿宋_GB2312" w:cs="仿宋_GB2312" w:eastAsia="仿宋_GB2312"/>
                      <w:sz w:val="24"/>
                      <w:color w:val="000000"/>
                    </w:rPr>
                    <w:t>；</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221"/>
                  <w:vMerge/>
                  <w:tcBorders>
                    <w:top w:val="none" w:color="000000" w:sz="4"/>
                    <w:left w:val="single" w:color="000000" w:sz="4"/>
                    <w:bottom w:val="single" w:color="000000" w:sz="4"/>
                    <w:right w:val="single" w:color="000000" w:sz="4"/>
                  </w:tcBorders>
                </w:tcP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抗倍特板隔断</w:t>
                  </w:r>
                </w:p>
              </w:tc>
              <w:tc>
                <w:tcPr>
                  <w:tcW w:type="dxa" w:w="1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卫生隔断专用板材</w:t>
                  </w:r>
                  <w:r>
                    <w:rPr>
                      <w:rFonts w:ascii="仿宋_GB2312" w:hAnsi="仿宋_GB2312" w:cs="仿宋_GB2312" w:eastAsia="仿宋_GB2312"/>
                      <w:sz w:val="24"/>
                      <w:color w:val="000000"/>
                    </w:rPr>
                    <w:t>，</w:t>
                  </w:r>
                  <w:r>
                    <w:rPr>
                      <w:rFonts w:ascii="仿宋_GB2312" w:hAnsi="仿宋_GB2312" w:cs="仿宋_GB2312" w:eastAsia="仿宋_GB2312"/>
                      <w:sz w:val="24"/>
                      <w:color w:val="000000"/>
                    </w:rPr>
                    <w:t>防水防潮，铝合金封边</w:t>
                  </w:r>
                  <w:r>
                    <w:rPr>
                      <w:rFonts w:ascii="仿宋_GB2312" w:hAnsi="仿宋_GB2312" w:cs="仿宋_GB2312" w:eastAsia="仿宋_GB2312"/>
                      <w:sz w:val="24"/>
                      <w:color w:val="000000"/>
                    </w:rPr>
                    <w:t>，</w:t>
                  </w:r>
                  <w:r>
                    <w:rPr>
                      <w:rFonts w:ascii="仿宋_GB2312" w:hAnsi="仿宋_GB2312" w:cs="仿宋_GB2312" w:eastAsia="仿宋_GB2312"/>
                      <w:sz w:val="24"/>
                      <w:color w:val="000000"/>
                    </w:rPr>
                    <w:t>各项性能指标满足施工使用要求，符合国标、</w:t>
                  </w:r>
                  <w:r>
                    <w:rPr>
                      <w:rFonts w:ascii="仿宋_GB2312" w:hAnsi="仿宋_GB2312" w:cs="仿宋_GB2312" w:eastAsia="仿宋_GB2312"/>
                      <w:sz w:val="24"/>
                      <w:color w:val="000000"/>
                    </w:rPr>
                    <w:t>国家相关标准、规范</w:t>
                  </w:r>
                  <w:r>
                    <w:rPr>
                      <w:rFonts w:ascii="仿宋_GB2312" w:hAnsi="仿宋_GB2312" w:cs="仿宋_GB2312" w:eastAsia="仿宋_GB2312"/>
                      <w:sz w:val="24"/>
                      <w:color w:val="000000"/>
                    </w:rPr>
                    <w:t>；</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221"/>
                  <w:vMerge/>
                  <w:tcBorders>
                    <w:top w:val="none" w:color="000000" w:sz="4"/>
                    <w:left w:val="single" w:color="000000" w:sz="4"/>
                    <w:bottom w:val="single" w:color="000000" w:sz="4"/>
                    <w:right w:val="single" w:color="000000" w:sz="4"/>
                  </w:tcBorders>
                </w:tcP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防水</w:t>
                  </w:r>
                </w:p>
                <w:p>
                  <w:pPr>
                    <w:pStyle w:val="null3"/>
                    <w:jc w:val="center"/>
                  </w:pPr>
                  <w:r>
                    <w:rPr>
                      <w:rFonts w:ascii="仿宋_GB2312" w:hAnsi="仿宋_GB2312" w:cs="仿宋_GB2312" w:eastAsia="仿宋_GB2312"/>
                      <w:sz w:val="24"/>
                      <w:color w:val="000000"/>
                    </w:rPr>
                    <w:t>涂料</w:t>
                  </w:r>
                </w:p>
              </w:tc>
              <w:tc>
                <w:tcPr>
                  <w:tcW w:type="dxa" w:w="1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水泥基渗透结晶型防水涂料</w:t>
                  </w:r>
                  <w:r>
                    <w:rPr>
                      <w:rFonts w:ascii="仿宋_GB2312" w:hAnsi="仿宋_GB2312" w:cs="仿宋_GB2312" w:eastAsia="仿宋_GB2312"/>
                      <w:sz w:val="24"/>
                      <w:color w:val="000000"/>
                    </w:rPr>
                    <w:t>、</w:t>
                  </w:r>
                  <w:r>
                    <w:rPr>
                      <w:rFonts w:ascii="仿宋_GB2312" w:hAnsi="仿宋_GB2312" w:cs="仿宋_GB2312" w:eastAsia="仿宋_GB2312"/>
                      <w:sz w:val="24"/>
                      <w:color w:val="000000"/>
                    </w:rPr>
                    <w:t>聚合物水泥防水涂料</w:t>
                  </w:r>
                  <w:r>
                    <w:rPr>
                      <w:rFonts w:ascii="仿宋_GB2312" w:hAnsi="仿宋_GB2312" w:cs="仿宋_GB2312" w:eastAsia="仿宋_GB2312"/>
                      <w:sz w:val="24"/>
                      <w:color w:val="000000"/>
                    </w:rPr>
                    <w:t>、</w:t>
                  </w:r>
                  <w:r>
                    <w:rPr>
                      <w:rFonts w:ascii="仿宋_GB2312" w:hAnsi="仿宋_GB2312" w:cs="仿宋_GB2312" w:eastAsia="仿宋_GB2312"/>
                      <w:sz w:val="24"/>
                      <w:color w:val="000000"/>
                    </w:rPr>
                    <w:t>聚氨酯防水涂料</w:t>
                  </w:r>
                  <w:r>
                    <w:rPr>
                      <w:rFonts w:ascii="仿宋_GB2312" w:hAnsi="仿宋_GB2312" w:cs="仿宋_GB2312" w:eastAsia="仿宋_GB2312"/>
                      <w:sz w:val="24"/>
                      <w:color w:val="000000"/>
                    </w:rPr>
                    <w:t>,</w:t>
                  </w:r>
                  <w:r>
                    <w:rPr>
                      <w:rFonts w:ascii="仿宋_GB2312" w:hAnsi="仿宋_GB2312" w:cs="仿宋_GB2312" w:eastAsia="仿宋_GB2312"/>
                      <w:sz w:val="24"/>
                      <w:color w:val="000000"/>
                    </w:rPr>
                    <w:t>符合本项目工程量清单、施工图纸相关要求，符合</w:t>
                  </w:r>
                  <w:r>
                    <w:rPr>
                      <w:rFonts w:ascii="仿宋_GB2312" w:hAnsi="仿宋_GB2312" w:cs="仿宋_GB2312" w:eastAsia="仿宋_GB2312"/>
                      <w:sz w:val="24"/>
                      <w:color w:val="000000"/>
                    </w:rPr>
                    <w:t>国家相关标准、规范</w:t>
                  </w:r>
                  <w:r>
                    <w:rPr>
                      <w:rFonts w:ascii="仿宋_GB2312" w:hAnsi="仿宋_GB2312" w:cs="仿宋_GB2312" w:eastAsia="仿宋_GB2312"/>
                      <w:sz w:val="24"/>
                      <w:color w:val="000000"/>
                    </w:rPr>
                    <w:t>；</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221"/>
                  <w:vMerge/>
                  <w:tcBorders>
                    <w:top w:val="none" w:color="000000" w:sz="4"/>
                    <w:left w:val="single" w:color="000000" w:sz="4"/>
                    <w:bottom w:val="single" w:color="000000" w:sz="4"/>
                    <w:right w:val="single" w:color="000000" w:sz="4"/>
                  </w:tcBorders>
                </w:tcP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氟碳漆</w:t>
                  </w:r>
                </w:p>
              </w:tc>
              <w:tc>
                <w:tcPr>
                  <w:tcW w:type="dxa" w:w="1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1.含氟量不低于18%；耐洗刷性（次）&gt; 1000；</w:t>
                  </w:r>
                </w:p>
                <w:p>
                  <w:pPr>
                    <w:pStyle w:val="null3"/>
                    <w:jc w:val="left"/>
                  </w:pPr>
                  <w:r>
                    <w:rPr>
                      <w:rFonts w:ascii="仿宋_GB2312" w:hAnsi="仿宋_GB2312" w:cs="仿宋_GB2312" w:eastAsia="仿宋_GB2312"/>
                      <w:sz w:val="24"/>
                      <w:color w:val="000000"/>
                    </w:rPr>
                    <w:t>耐污染性（反射系数下降率，</w:t>
                  </w:r>
                  <w:r>
                    <w:rPr>
                      <w:rFonts w:ascii="仿宋_GB2312" w:hAnsi="仿宋_GB2312" w:cs="仿宋_GB2312" w:eastAsia="仿宋_GB2312"/>
                      <w:sz w:val="24"/>
                      <w:color w:val="000000"/>
                    </w:rPr>
                    <w:t>%）&lt; 5；冲击强度（kgNaN）：50</w:t>
                  </w:r>
                </w:p>
                <w:p>
                  <w:pPr>
                    <w:pStyle w:val="null3"/>
                    <w:jc w:val="left"/>
                  </w:pPr>
                  <w:r>
                    <w:rPr>
                      <w:rFonts w:ascii="仿宋_GB2312" w:hAnsi="仿宋_GB2312" w:cs="仿宋_GB2312" w:eastAsia="仿宋_GB2312"/>
                      <w:sz w:val="24"/>
                      <w:color w:val="000000"/>
                    </w:rPr>
                    <w:t>2.耐水（200h）；耐溶剂（苯10d、挥发油10d） ；</w:t>
                  </w:r>
                </w:p>
                <w:p>
                  <w:pPr>
                    <w:pStyle w:val="null3"/>
                    <w:jc w:val="left"/>
                  </w:pPr>
                  <w:r>
                    <w:rPr>
                      <w:rFonts w:ascii="仿宋_GB2312" w:hAnsi="仿宋_GB2312" w:cs="仿宋_GB2312" w:eastAsia="仿宋_GB2312"/>
                      <w:sz w:val="24"/>
                      <w:color w:val="000000"/>
                    </w:rPr>
                    <w:t>耐盐雾（</w:t>
                  </w:r>
                  <w:r>
                    <w:rPr>
                      <w:rFonts w:ascii="仿宋_GB2312" w:hAnsi="仿宋_GB2312" w:cs="仿宋_GB2312" w:eastAsia="仿宋_GB2312"/>
                      <w:sz w:val="24"/>
                      <w:color w:val="000000"/>
                    </w:rPr>
                    <w:t>1000h）；耐油性（70# 汽油30天）耐腐蚀</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10% 硫酸、盐酸30天）；耐腐蚀（10% 氢氧化钠30天）</w:t>
                  </w:r>
                </w:p>
                <w:p>
                  <w:pPr>
                    <w:pStyle w:val="null3"/>
                    <w:jc w:val="left"/>
                  </w:pPr>
                  <w:r>
                    <w:rPr>
                      <w:rFonts w:ascii="仿宋_GB2312" w:hAnsi="仿宋_GB2312" w:cs="仿宋_GB2312" w:eastAsia="仿宋_GB2312"/>
                      <w:sz w:val="24"/>
                      <w:color w:val="000000"/>
                    </w:rPr>
                    <w:t>3.节能环保产品，符合本项目工程量清单相关要求，符合国家相关标准、规范；</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221"/>
                  <w:vMerge/>
                  <w:tcBorders>
                    <w:top w:val="none" w:color="000000" w:sz="4"/>
                    <w:left w:val="single" w:color="000000" w:sz="4"/>
                    <w:bottom w:val="single" w:color="000000" w:sz="4"/>
                    <w:right w:val="single" w:color="000000" w:sz="4"/>
                  </w:tcBorders>
                </w:tcP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钢材</w:t>
                  </w:r>
                </w:p>
              </w:tc>
              <w:tc>
                <w:tcPr>
                  <w:tcW w:type="dxa" w:w="1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符合本项目工程量清单、施工图纸相关要求，符合国家相关标准、规范；</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221"/>
                  <w:vMerge/>
                  <w:tcBorders>
                    <w:top w:val="none" w:color="000000" w:sz="4"/>
                    <w:left w:val="single" w:color="000000" w:sz="4"/>
                    <w:bottom w:val="single" w:color="000000" w:sz="4"/>
                    <w:right w:val="single" w:color="000000" w:sz="4"/>
                  </w:tcBorders>
                </w:tcP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不锈钢</w:t>
                  </w:r>
                </w:p>
              </w:tc>
              <w:tc>
                <w:tcPr>
                  <w:tcW w:type="dxa" w:w="1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1.4mm厚304哑光不锈钢,节能环保产品，符合本项目工程量清单、施工图纸相关要求，符合国家相关标准、规范；</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221"/>
                  <w:vMerge/>
                  <w:tcBorders>
                    <w:top w:val="none" w:color="000000" w:sz="4"/>
                    <w:left w:val="single" w:color="000000" w:sz="4"/>
                    <w:bottom w:val="single" w:color="000000" w:sz="4"/>
                    <w:right w:val="single" w:color="000000" w:sz="4"/>
                  </w:tcBorders>
                </w:tcP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玻璃</w:t>
                  </w:r>
                </w:p>
              </w:tc>
              <w:tc>
                <w:tcPr>
                  <w:tcW w:type="dxa" w:w="1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10mm钢化白浮法玻璃，符合本项目工程量清单、施工图纸相关要求，符合国家相关标准、规范；</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221"/>
                  <w:vMerge/>
                  <w:tcBorders>
                    <w:top w:val="none" w:color="000000" w:sz="4"/>
                    <w:left w:val="single" w:color="000000" w:sz="4"/>
                    <w:bottom w:val="single" w:color="000000" w:sz="4"/>
                    <w:right w:val="single" w:color="000000" w:sz="4"/>
                  </w:tcBorders>
                </w:tcP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防火门</w:t>
                  </w:r>
                </w:p>
              </w:tc>
              <w:tc>
                <w:tcPr>
                  <w:tcW w:type="dxa" w:w="1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门框钢板厚度</w:t>
                  </w:r>
                  <w:r>
                    <w:rPr>
                      <w:rFonts w:ascii="仿宋_GB2312" w:hAnsi="仿宋_GB2312" w:cs="仿宋_GB2312" w:eastAsia="仿宋_GB2312"/>
                      <w:sz w:val="24"/>
                      <w:color w:val="000000"/>
                    </w:rPr>
                    <w:t>≥1.2mm（甲级≥1.5mm），门扇面板厚度≥0.8mm，耐火完整性、隔热性满足设计等级要求（A 类 ）；门扇与门框贴合面间隙≤3mm，门扇与门框平面高低差≤1mm；配置防火膨胀密封条（符合 GB 16807 要求），防烟性能满足规范；配备合格闭门器、防火锁、合页等五金配件，疏散通道常闭门反复启闭耐久次数≥5000 次；抗垂直荷载 300N 作用下残余变形≤3mm，耐软重物体撞击后可正常启闭；白色钢质防火门，表面采用环保防腐防锈处理，符合 GB 8624-2012 建筑材料燃烧性能分级，环保无有害挥发物；符合本项目工程量清单、施工图纸相关要求，符合国家相关标准、规范；</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221"/>
                  <w:vMerge/>
                  <w:tcBorders>
                    <w:top w:val="none" w:color="000000" w:sz="4"/>
                    <w:left w:val="single" w:color="000000" w:sz="4"/>
                    <w:bottom w:val="single" w:color="000000" w:sz="4"/>
                    <w:right w:val="single" w:color="000000" w:sz="4"/>
                  </w:tcBorders>
                </w:tcP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运动木地板</w:t>
                  </w:r>
                </w:p>
              </w:tc>
              <w:tc>
                <w:tcPr>
                  <w:tcW w:type="dxa" w:w="1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运动木地板产品应通过中国绿色产品认证并具备认证证书，可在全国认证认可信息公共服务平台（http://cx.cnca.cn）查询。（财政部、住建部、工信部《关于进一步扩大政府采购支持绿色建材促进建筑品质提升政策实施范围的通知》（财库〔2024〕36号））</w:t>
                  </w:r>
                </w:p>
                <w:p>
                  <w:pPr>
                    <w:pStyle w:val="null3"/>
                    <w:jc w:val="left"/>
                  </w:pPr>
                  <w:r>
                    <w:rPr>
                      <w:rFonts w:ascii="仿宋_GB2312" w:hAnsi="仿宋_GB2312" w:cs="仿宋_GB2312" w:eastAsia="仿宋_GB2312"/>
                      <w:sz w:val="24"/>
                      <w:color w:val="000000"/>
                    </w:rPr>
                    <w:t>2.运动木地板产品</w:t>
                  </w:r>
                  <w:r>
                    <w:rPr>
                      <w:rFonts w:ascii="仿宋_GB2312" w:hAnsi="仿宋_GB2312" w:cs="仿宋_GB2312" w:eastAsia="仿宋_GB2312"/>
                      <w:sz w:val="24"/>
                      <w:color w:val="000000"/>
                    </w:rPr>
                    <w:t>运动性能</w:t>
                  </w:r>
                  <w:r>
                    <w:rPr>
                      <w:rFonts w:ascii="仿宋_GB2312" w:hAnsi="仿宋_GB2312" w:cs="仿宋_GB2312" w:eastAsia="仿宋_GB2312"/>
                      <w:sz w:val="24"/>
                      <w:color w:val="000000"/>
                    </w:rPr>
                    <w:t>满足</w:t>
                  </w:r>
                  <w:r>
                    <w:rPr>
                      <w:rFonts w:ascii="仿宋_GB2312" w:hAnsi="仿宋_GB2312" w:cs="仿宋_GB2312" w:eastAsia="仿宋_GB2312"/>
                      <w:sz w:val="24"/>
                      <w:color w:val="000000"/>
                    </w:rPr>
                    <w:t>GB/T 20239-2023《体育馆用木质地板》、GB/T 22517.1-2024《体育场地使用要求及检验方法第1部分：综合体育场馆木地板场地》标准要求：</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1)冲击吸收率≥53%；</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2）标准垂直变形≥2.3mm；</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3）抗滚动荷载性能：不起毛刺，没有裂纹、断裂、劈裂、漆膜损坏、残余压痕≤0.5mm；</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4）球反弹率≥90%；</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5）滑动摩擦系数：0.4~0.6/80-110。</w:t>
                  </w:r>
                </w:p>
                <w:p>
                  <w:pPr>
                    <w:pStyle w:val="null3"/>
                    <w:jc w:val="left"/>
                  </w:pPr>
                  <w:r>
                    <w:rPr>
                      <w:rFonts w:ascii="仿宋_GB2312" w:hAnsi="仿宋_GB2312" w:cs="仿宋_GB2312" w:eastAsia="仿宋_GB2312"/>
                      <w:sz w:val="24"/>
                      <w:color w:val="000000"/>
                    </w:rPr>
                    <w:t>提供专业运动性能检测报告</w:t>
                  </w:r>
                  <w:r>
                    <w:rPr>
                      <w:rFonts w:ascii="仿宋_GB2312" w:hAnsi="仿宋_GB2312" w:cs="仿宋_GB2312" w:eastAsia="仿宋_GB2312"/>
                      <w:sz w:val="24"/>
                      <w:color w:val="000000"/>
                    </w:rPr>
                    <w:t>(实验室)及其他项目现场场地运动性能检测报告佐证。</w:t>
                  </w:r>
                </w:p>
                <w:p>
                  <w:pPr>
                    <w:pStyle w:val="null3"/>
                    <w:numPr>
                      <w:ilvl w:val="0"/>
                      <w:numId w:val="1"/>
                    </w:numPr>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运动木地板环保要求：</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甲醛释放量</w:t>
                  </w:r>
                  <w:r>
                    <w:rPr>
                      <w:rFonts w:ascii="仿宋_GB2312" w:hAnsi="仿宋_GB2312" w:cs="仿宋_GB2312" w:eastAsia="仿宋_GB2312"/>
                      <w:sz w:val="21"/>
                    </w:rPr>
                    <w:t xml:space="preserve"> </w:t>
                  </w:r>
                  <w:r>
                    <w:rPr>
                      <w:rFonts w:ascii="仿宋_GB2312" w:hAnsi="仿宋_GB2312" w:cs="仿宋_GB2312" w:eastAsia="仿宋_GB2312"/>
                      <w:sz w:val="24"/>
                      <w:color w:val="000000"/>
                    </w:rPr>
                    <w:t>E</w:t>
                  </w:r>
                  <w:r>
                    <w:rPr>
                      <w:rFonts w:ascii="仿宋_GB2312" w:hAnsi="仿宋_GB2312" w:cs="仿宋_GB2312" w:eastAsia="仿宋_GB2312"/>
                      <w:sz w:val="24"/>
                      <w:color w:val="000000"/>
                      <w:vertAlign w:val="subscript"/>
                    </w:rPr>
                    <w:t>NF</w:t>
                  </w:r>
                  <w:r>
                    <w:rPr>
                      <w:rFonts w:ascii="仿宋_GB2312" w:hAnsi="仿宋_GB2312" w:cs="仿宋_GB2312" w:eastAsia="仿宋_GB2312"/>
                      <w:sz w:val="24"/>
                      <w:color w:val="000000"/>
                    </w:rPr>
                    <w:t>级（</w:t>
                  </w:r>
                  <w:r>
                    <w:rPr>
                      <w:rFonts w:ascii="仿宋_GB2312" w:hAnsi="仿宋_GB2312" w:cs="仿宋_GB2312" w:eastAsia="仿宋_GB2312"/>
                      <w:sz w:val="24"/>
                      <w:color w:val="000000"/>
                    </w:rPr>
                    <w:t>≤0.</w:t>
                  </w:r>
                  <w:r>
                    <w:rPr>
                      <w:rFonts w:ascii="仿宋_GB2312" w:hAnsi="仿宋_GB2312" w:cs="仿宋_GB2312" w:eastAsia="仿宋_GB2312"/>
                      <w:sz w:val="24"/>
                      <w:color w:val="000000"/>
                    </w:rPr>
                    <w:t>025</w:t>
                  </w:r>
                  <w:r>
                    <w:rPr>
                      <w:rFonts w:ascii="仿宋_GB2312" w:hAnsi="仿宋_GB2312" w:cs="仿宋_GB2312" w:eastAsia="仿宋_GB2312"/>
                      <w:sz w:val="24"/>
                      <w:color w:val="000000"/>
                    </w:rPr>
                    <w:t>mg</w:t>
                  </w:r>
                  <w:r>
                    <w:rPr>
                      <w:rFonts w:ascii="仿宋_GB2312" w:hAnsi="仿宋_GB2312" w:cs="仿宋_GB2312" w:eastAsia="仿宋_GB2312"/>
                      <w:sz w:val="24"/>
                      <w:color w:val="000000"/>
                    </w:rPr>
                    <w:t>/m³</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可溶性重金属（铅、镉、铬、汞）含量：铅</w:t>
                  </w:r>
                  <w:r>
                    <w:rPr>
                      <w:rFonts w:ascii="仿宋_GB2312" w:hAnsi="仿宋_GB2312" w:cs="仿宋_GB2312" w:eastAsia="仿宋_GB2312"/>
                      <w:sz w:val="24"/>
                      <w:color w:val="000000"/>
                    </w:rPr>
                    <w:t>≤50mg/kg、镉≤50mg/kg、铬≤25mg/kg、汞≤25mg/kg，总含量≤50mg/kg；</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3）挥发性有机化合物释放浓度（7d）：苯≤2μg/m³、甲苯≤10μg/m³、二甲苯≤10μg/m³，总挥发性有机化合物（TVOC）≤20μg/m³。</w:t>
                  </w:r>
                </w:p>
                <w:p>
                  <w:pPr>
                    <w:pStyle w:val="null3"/>
                    <w:jc w:val="left"/>
                  </w:pPr>
                  <w:r>
                    <w:rPr>
                      <w:rFonts w:ascii="仿宋_GB2312" w:hAnsi="仿宋_GB2312" w:cs="仿宋_GB2312" w:eastAsia="仿宋_GB2312"/>
                      <w:sz w:val="24"/>
                      <w:color w:val="000000"/>
                    </w:rPr>
                    <w:t>具备相应资质的检测机构出具的检测报告佐证。</w:t>
                  </w:r>
                </w:p>
                <w:p>
                  <w:pPr>
                    <w:pStyle w:val="null3"/>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面层地板采用</w:t>
                  </w:r>
                  <w:r>
                    <w:rPr>
                      <w:rFonts w:ascii="仿宋_GB2312" w:hAnsi="仿宋_GB2312" w:cs="仿宋_GB2312" w:eastAsia="仿宋_GB2312"/>
                      <w:sz w:val="24"/>
                      <w:color w:val="000000"/>
                    </w:rPr>
                    <w:t>枫木实木面</w:t>
                  </w:r>
                  <w:r>
                    <w:rPr>
                      <w:rFonts w:ascii="仿宋_GB2312" w:hAnsi="仿宋_GB2312" w:cs="仿宋_GB2312" w:eastAsia="仿宋_GB2312"/>
                      <w:sz w:val="24"/>
                      <w:color w:val="000000"/>
                    </w:rPr>
                    <w:t>板</w:t>
                  </w:r>
                  <w:r>
                    <w:rPr>
                      <w:rFonts w:ascii="仿宋_GB2312" w:hAnsi="仿宋_GB2312" w:cs="仿宋_GB2312" w:eastAsia="仿宋_GB2312"/>
                      <w:sz w:val="24"/>
                      <w:color w:val="000000"/>
                    </w:rPr>
                    <w:t>，</w:t>
                  </w:r>
                  <w:r>
                    <w:rPr>
                      <w:rFonts w:ascii="仿宋_GB2312" w:hAnsi="仿宋_GB2312" w:cs="仿宋_GB2312" w:eastAsia="仿宋_GB2312"/>
                      <w:sz w:val="24"/>
                      <w:color w:val="000000"/>
                    </w:rPr>
                    <w:t>规格不大于</w:t>
                  </w:r>
                  <w:r>
                    <w:rPr>
                      <w:rFonts w:ascii="仿宋_GB2312" w:hAnsi="仿宋_GB2312" w:cs="仿宋_GB2312" w:eastAsia="仿宋_GB2312"/>
                      <w:sz w:val="24"/>
                      <w:color w:val="000000"/>
                    </w:rPr>
                    <w:t>22×60-80×1800-2200mm</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1）外观要求：</w:t>
                  </w:r>
                  <w:r>
                    <w:rPr>
                      <w:rFonts w:ascii="仿宋_GB2312" w:hAnsi="仿宋_GB2312" w:cs="仿宋_GB2312" w:eastAsia="仿宋_GB2312"/>
                      <w:sz w:val="24"/>
                      <w:color w:val="000000"/>
                    </w:rPr>
                    <w:t>任意</w:t>
                  </w:r>
                  <w:r>
                    <w:rPr>
                      <w:rFonts w:ascii="仿宋_GB2312" w:hAnsi="仿宋_GB2312" w:cs="仿宋_GB2312" w:eastAsia="仿宋_GB2312"/>
                      <w:sz w:val="24"/>
                      <w:color w:val="000000"/>
                    </w:rPr>
                    <w:t>1m长度范围内死节直径应≤5mm、死节个数应≤2个、直径3mm以下死节个数不计，无孔洞、腐朽、楯棱、裂纹，机械伤痕长度≤100mm、深度≤0.5mm、个数≤2个，无灼烧、无板面污染、无漏漆、无漆膜鼓泡、漆膜粒子个数≤2个；</w:t>
                  </w:r>
                  <w:r>
                    <w:rPr>
                      <w:rFonts w:ascii="仿宋_GB2312" w:hAnsi="仿宋_GB2312" w:cs="仿宋_GB2312" w:eastAsia="仿宋_GB2312"/>
                      <w:sz w:val="24"/>
                      <w:color w:val="000000"/>
                    </w:rPr>
                    <w:t>可见部分不能有影响使用的缺陷</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理化性能：</w:t>
                  </w:r>
                  <w:r>
                    <w:rPr>
                      <w:rFonts w:ascii="仿宋_GB2312" w:hAnsi="仿宋_GB2312" w:cs="仿宋_GB2312" w:eastAsia="仿宋_GB2312"/>
                      <w:sz w:val="24"/>
                      <w:color w:val="000000"/>
                    </w:rPr>
                    <w:t>冲击韧性</w:t>
                  </w:r>
                  <w:r>
                    <w:rPr>
                      <w:rFonts w:ascii="仿宋_GB2312" w:hAnsi="仿宋_GB2312" w:cs="仿宋_GB2312" w:eastAsia="仿宋_GB2312"/>
                      <w:sz w:val="24"/>
                      <w:color w:val="000000"/>
                    </w:rPr>
                    <w:t>≥50KJ/㎡；</w:t>
                  </w:r>
                  <w:r>
                    <w:rPr>
                      <w:rFonts w:ascii="仿宋_GB2312" w:hAnsi="仿宋_GB2312" w:cs="仿宋_GB2312" w:eastAsia="仿宋_GB2312"/>
                      <w:sz w:val="24"/>
                      <w:color w:val="000000"/>
                    </w:rPr>
                    <w:t>静曲强度</w:t>
                  </w:r>
                  <w:r>
                    <w:rPr>
                      <w:rFonts w:ascii="仿宋_GB2312" w:hAnsi="仿宋_GB2312" w:cs="仿宋_GB2312" w:eastAsia="仿宋_GB2312"/>
                      <w:sz w:val="24"/>
                      <w:color w:val="000000"/>
                    </w:rPr>
                    <w:t>≥</w:t>
                  </w:r>
                  <w:r>
                    <w:rPr>
                      <w:rFonts w:ascii="仿宋_GB2312" w:hAnsi="仿宋_GB2312" w:cs="仿宋_GB2312" w:eastAsia="仿宋_GB2312"/>
                      <w:sz w:val="24"/>
                      <w:color w:val="000000"/>
                    </w:rPr>
                    <w:t>5</w:t>
                  </w:r>
                  <w:r>
                    <w:rPr>
                      <w:rFonts w:ascii="仿宋_GB2312" w:hAnsi="仿宋_GB2312" w:cs="仿宋_GB2312" w:eastAsia="仿宋_GB2312"/>
                      <w:sz w:val="24"/>
                      <w:color w:val="000000"/>
                    </w:rPr>
                    <w:t>0</w:t>
                  </w:r>
                  <w:r>
                    <w:rPr>
                      <w:rFonts w:ascii="仿宋_GB2312" w:hAnsi="仿宋_GB2312" w:cs="仿宋_GB2312" w:eastAsia="仿宋_GB2312"/>
                      <w:sz w:val="24"/>
                      <w:color w:val="000000"/>
                    </w:rPr>
                    <w:t>Mpa</w:t>
                  </w:r>
                  <w:r>
                    <w:rPr>
                      <w:rFonts w:ascii="仿宋_GB2312" w:hAnsi="仿宋_GB2312" w:cs="仿宋_GB2312" w:eastAsia="仿宋_GB2312"/>
                      <w:sz w:val="24"/>
                      <w:color w:val="000000"/>
                    </w:rPr>
                    <w:t>；</w:t>
                  </w:r>
                  <w:r>
                    <w:rPr>
                      <w:rFonts w:ascii="仿宋_GB2312" w:hAnsi="仿宋_GB2312" w:cs="仿宋_GB2312" w:eastAsia="仿宋_GB2312"/>
                      <w:sz w:val="24"/>
                      <w:color w:val="000000"/>
                    </w:rPr>
                    <w:t>弹性模量</w:t>
                  </w:r>
                  <w:r>
                    <w:rPr>
                      <w:rFonts w:ascii="仿宋_GB2312" w:hAnsi="仿宋_GB2312" w:cs="仿宋_GB2312" w:eastAsia="仿宋_GB2312"/>
                      <w:sz w:val="24"/>
                      <w:color w:val="000000"/>
                    </w:rPr>
                    <w:t>≥</w:t>
                  </w:r>
                  <w:r>
                    <w:rPr>
                      <w:rFonts w:ascii="仿宋_GB2312" w:hAnsi="仿宋_GB2312" w:cs="仿宋_GB2312" w:eastAsia="仿宋_GB2312"/>
                      <w:sz w:val="24"/>
                      <w:color w:val="000000"/>
                    </w:rPr>
                    <w:t>12</w:t>
                  </w:r>
                  <w:r>
                    <w:rPr>
                      <w:rFonts w:ascii="仿宋_GB2312" w:hAnsi="仿宋_GB2312" w:cs="仿宋_GB2312" w:eastAsia="仿宋_GB2312"/>
                      <w:sz w:val="24"/>
                      <w:color w:val="000000"/>
                    </w:rPr>
                    <w:t>000</w:t>
                  </w:r>
                  <w:r>
                    <w:rPr>
                      <w:rFonts w:ascii="仿宋_GB2312" w:hAnsi="仿宋_GB2312" w:cs="仿宋_GB2312" w:eastAsia="仿宋_GB2312"/>
                      <w:sz w:val="24"/>
                      <w:color w:val="000000"/>
                    </w:rPr>
                    <w:t>Mpa</w:t>
                  </w:r>
                  <w:r>
                    <w:rPr>
                      <w:rFonts w:ascii="仿宋_GB2312" w:hAnsi="仿宋_GB2312" w:cs="仿宋_GB2312" w:eastAsia="仿宋_GB2312"/>
                      <w:sz w:val="24"/>
                      <w:color w:val="000000"/>
                    </w:rPr>
                    <w:t>；</w:t>
                  </w:r>
                  <w:r>
                    <w:rPr>
                      <w:rFonts w:ascii="仿宋_GB2312" w:hAnsi="仿宋_GB2312" w:cs="仿宋_GB2312" w:eastAsia="仿宋_GB2312"/>
                      <w:sz w:val="24"/>
                      <w:color w:val="000000"/>
                    </w:rPr>
                    <w:t>含水率</w:t>
                  </w:r>
                  <w:r>
                    <w:rPr>
                      <w:rFonts w:ascii="仿宋_GB2312" w:hAnsi="仿宋_GB2312" w:cs="仿宋_GB2312" w:eastAsia="仿宋_GB2312"/>
                      <w:sz w:val="24"/>
                      <w:color w:val="000000"/>
                    </w:rPr>
                    <w:t>6%~1</w:t>
                  </w:r>
                  <w:r>
                    <w:rPr>
                      <w:rFonts w:ascii="仿宋_GB2312" w:hAnsi="仿宋_GB2312" w:cs="仿宋_GB2312" w:eastAsia="仿宋_GB2312"/>
                      <w:sz w:val="24"/>
                      <w:color w:val="000000"/>
                    </w:rPr>
                    <w:t>4</w:t>
                  </w: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r>
                    <w:rPr>
                      <w:rFonts w:ascii="仿宋_GB2312" w:hAnsi="仿宋_GB2312" w:cs="仿宋_GB2312" w:eastAsia="仿宋_GB2312"/>
                      <w:sz w:val="24"/>
                      <w:color w:val="000000"/>
                    </w:rPr>
                    <w:t>西安市木材平衡含水率</w:t>
                  </w:r>
                  <w:r>
                    <w:rPr>
                      <w:rFonts w:ascii="仿宋_GB2312" w:hAnsi="仿宋_GB2312" w:cs="仿宋_GB2312" w:eastAsia="仿宋_GB2312"/>
                      <w:sz w:val="24"/>
                      <w:color w:val="000000"/>
                    </w:rPr>
                    <w:t>）；</w:t>
                  </w:r>
                  <w:r>
                    <w:rPr>
                      <w:rFonts w:ascii="仿宋_GB2312" w:hAnsi="仿宋_GB2312" w:cs="仿宋_GB2312" w:eastAsia="仿宋_GB2312"/>
                      <w:sz w:val="24"/>
                      <w:color w:val="000000"/>
                    </w:rPr>
                    <w:t>漆膜表面耐磨</w:t>
                  </w:r>
                  <w:r>
                    <w:rPr>
                      <w:rFonts w:ascii="仿宋_GB2312" w:hAnsi="仿宋_GB2312" w:cs="仿宋_GB2312" w:eastAsia="仿宋_GB2312"/>
                      <w:sz w:val="24"/>
                      <w:color w:val="000000"/>
                    </w:rPr>
                    <w:t>≤0.1g/100r</w:t>
                  </w:r>
                  <w:r>
                    <w:rPr>
                      <w:rFonts w:ascii="仿宋_GB2312" w:hAnsi="仿宋_GB2312" w:cs="仿宋_GB2312" w:eastAsia="仿宋_GB2312"/>
                      <w:sz w:val="24"/>
                      <w:color w:val="000000"/>
                    </w:rPr>
                    <w:t>，</w:t>
                  </w:r>
                  <w:r>
                    <w:rPr>
                      <w:rFonts w:ascii="仿宋_GB2312" w:hAnsi="仿宋_GB2312" w:cs="仿宋_GB2312" w:eastAsia="仿宋_GB2312"/>
                      <w:sz w:val="24"/>
                      <w:color w:val="000000"/>
                    </w:rPr>
                    <w:t>且</w:t>
                  </w:r>
                  <w:r>
                    <w:rPr>
                      <w:rFonts w:ascii="仿宋_GB2312" w:hAnsi="仿宋_GB2312" w:cs="仿宋_GB2312" w:eastAsia="仿宋_GB2312"/>
                      <w:sz w:val="24"/>
                      <w:color w:val="000000"/>
                    </w:rPr>
                    <w:t>磨</w:t>
                  </w:r>
                  <w:r>
                    <w:rPr>
                      <w:rFonts w:ascii="仿宋_GB2312" w:hAnsi="仿宋_GB2312" w:cs="仿宋_GB2312" w:eastAsia="仿宋_GB2312"/>
                      <w:sz w:val="24"/>
                      <w:color w:val="000000"/>
                    </w:rPr>
                    <w:t>100r后</w:t>
                  </w:r>
                  <w:r>
                    <w:rPr>
                      <w:rFonts w:ascii="仿宋_GB2312" w:hAnsi="仿宋_GB2312" w:cs="仿宋_GB2312" w:eastAsia="仿宋_GB2312"/>
                      <w:sz w:val="24"/>
                      <w:color w:val="000000"/>
                    </w:rPr>
                    <w:t>漆膜未磨透</w:t>
                  </w:r>
                  <w:r>
                    <w:rPr>
                      <w:rFonts w:ascii="仿宋_GB2312" w:hAnsi="仿宋_GB2312" w:cs="仿宋_GB2312" w:eastAsia="仿宋_GB2312"/>
                      <w:sz w:val="24"/>
                      <w:color w:val="000000"/>
                    </w:rPr>
                    <w:t>；</w:t>
                  </w:r>
                  <w:r>
                    <w:rPr>
                      <w:rFonts w:ascii="仿宋_GB2312" w:hAnsi="仿宋_GB2312" w:cs="仿宋_GB2312" w:eastAsia="仿宋_GB2312"/>
                      <w:sz w:val="24"/>
                      <w:color w:val="000000"/>
                    </w:rPr>
                    <w:t>漆膜附着力</w:t>
                  </w:r>
                  <w:r>
                    <w:rPr>
                      <w:rFonts w:ascii="仿宋_GB2312" w:hAnsi="仿宋_GB2312" w:cs="仿宋_GB2312" w:eastAsia="仿宋_GB2312"/>
                      <w:sz w:val="24"/>
                      <w:color w:val="000000"/>
                    </w:rPr>
                    <w:t>≤2级</w:t>
                  </w:r>
                  <w:r>
                    <w:rPr>
                      <w:rFonts w:ascii="仿宋_GB2312" w:hAnsi="仿宋_GB2312" w:cs="仿宋_GB2312" w:eastAsia="仿宋_GB2312"/>
                      <w:sz w:val="24"/>
                      <w:color w:val="000000"/>
                    </w:rPr>
                    <w:t>；</w:t>
                  </w:r>
                  <w:r>
                    <w:rPr>
                      <w:rFonts w:ascii="仿宋_GB2312" w:hAnsi="仿宋_GB2312" w:cs="仿宋_GB2312" w:eastAsia="仿宋_GB2312"/>
                      <w:sz w:val="24"/>
                      <w:color w:val="000000"/>
                    </w:rPr>
                    <w:t>漆膜硬度</w:t>
                  </w: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H</w:t>
                  </w:r>
                  <w:r>
                    <w:rPr>
                      <w:rFonts w:ascii="仿宋_GB2312" w:hAnsi="仿宋_GB2312" w:cs="仿宋_GB2312" w:eastAsia="仿宋_GB2312"/>
                      <w:sz w:val="24"/>
                      <w:color w:val="000000"/>
                    </w:rPr>
                    <w:t>；</w:t>
                  </w:r>
                  <w:r>
                    <w:rPr>
                      <w:rFonts w:ascii="仿宋_GB2312" w:hAnsi="仿宋_GB2312" w:cs="仿宋_GB2312" w:eastAsia="仿宋_GB2312"/>
                      <w:sz w:val="24"/>
                      <w:color w:val="000000"/>
                    </w:rPr>
                    <w:t>浸渍剥离：不允许</w:t>
                  </w:r>
                  <w:r>
                    <w:rPr>
                      <w:rFonts w:ascii="仿宋_GB2312" w:hAnsi="仿宋_GB2312" w:cs="仿宋_GB2312" w:eastAsia="仿宋_GB2312"/>
                      <w:sz w:val="24"/>
                      <w:color w:val="000000"/>
                    </w:rPr>
                    <w:t>；</w:t>
                  </w:r>
                  <w:r>
                    <w:rPr>
                      <w:rFonts w:ascii="仿宋_GB2312" w:hAnsi="仿宋_GB2312" w:cs="仿宋_GB2312" w:eastAsia="仿宋_GB2312"/>
                      <w:sz w:val="24"/>
                      <w:color w:val="000000"/>
                    </w:rPr>
                    <w:t>握钉力：板面</w:t>
                  </w:r>
                  <w:r>
                    <w:rPr>
                      <w:rFonts w:ascii="仿宋_GB2312" w:hAnsi="仿宋_GB2312" w:cs="仿宋_GB2312" w:eastAsia="仿宋_GB2312"/>
                      <w:sz w:val="24"/>
                      <w:color w:val="000000"/>
                    </w:rPr>
                    <w:t>≥3900N，板边≥3600N；</w:t>
                  </w:r>
                  <w:r>
                    <w:rPr>
                      <w:rFonts w:ascii="仿宋_GB2312" w:hAnsi="仿宋_GB2312" w:cs="仿宋_GB2312" w:eastAsia="仿宋_GB2312"/>
                      <w:sz w:val="24"/>
                      <w:color w:val="000000"/>
                    </w:rPr>
                    <w:t>甲醛释放量</w:t>
                  </w:r>
                  <w:r>
                    <w:rPr>
                      <w:rFonts w:ascii="仿宋_GB2312" w:hAnsi="仿宋_GB2312" w:cs="仿宋_GB2312" w:eastAsia="仿宋_GB2312"/>
                      <w:sz w:val="21"/>
                    </w:rPr>
                    <w:t xml:space="preserve"> </w:t>
                  </w:r>
                  <w:r>
                    <w:rPr>
                      <w:rFonts w:ascii="仿宋_GB2312" w:hAnsi="仿宋_GB2312" w:cs="仿宋_GB2312" w:eastAsia="仿宋_GB2312"/>
                      <w:sz w:val="24"/>
                      <w:color w:val="000000"/>
                    </w:rPr>
                    <w:t>E</w:t>
                  </w:r>
                  <w:r>
                    <w:rPr>
                      <w:rFonts w:ascii="仿宋_GB2312" w:hAnsi="仿宋_GB2312" w:cs="仿宋_GB2312" w:eastAsia="仿宋_GB2312"/>
                      <w:sz w:val="24"/>
                      <w:color w:val="000000"/>
                      <w:vertAlign w:val="subscript"/>
                    </w:rPr>
                    <w:t>NF</w:t>
                  </w:r>
                  <w:r>
                    <w:rPr>
                      <w:rFonts w:ascii="仿宋_GB2312" w:hAnsi="仿宋_GB2312" w:cs="仿宋_GB2312" w:eastAsia="仿宋_GB2312"/>
                      <w:sz w:val="24"/>
                      <w:color w:val="000000"/>
                    </w:rPr>
                    <w:t>≤0.</w:t>
                  </w:r>
                  <w:r>
                    <w:rPr>
                      <w:rFonts w:ascii="仿宋_GB2312" w:hAnsi="仿宋_GB2312" w:cs="仿宋_GB2312" w:eastAsia="仿宋_GB2312"/>
                      <w:sz w:val="24"/>
                      <w:color w:val="000000"/>
                    </w:rPr>
                    <w:t>025</w:t>
                  </w:r>
                  <w:r>
                    <w:rPr>
                      <w:rFonts w:ascii="仿宋_GB2312" w:hAnsi="仿宋_GB2312" w:cs="仿宋_GB2312" w:eastAsia="仿宋_GB2312"/>
                      <w:sz w:val="24"/>
                      <w:color w:val="000000"/>
                    </w:rPr>
                    <w:t>mg</w:t>
                  </w:r>
                  <w:r>
                    <w:rPr>
                      <w:rFonts w:ascii="仿宋_GB2312" w:hAnsi="仿宋_GB2312" w:cs="仿宋_GB2312" w:eastAsia="仿宋_GB2312"/>
                      <w:sz w:val="24"/>
                      <w:color w:val="000000"/>
                    </w:rPr>
                    <w:t>/m³</w:t>
                  </w:r>
                  <w:r>
                    <w:rPr>
                      <w:rFonts w:ascii="仿宋_GB2312" w:hAnsi="仿宋_GB2312" w:cs="仿宋_GB2312" w:eastAsia="仿宋_GB2312"/>
                      <w:sz w:val="24"/>
                      <w:color w:val="000000"/>
                    </w:rPr>
                    <w:t>；</w:t>
                  </w:r>
                  <w:r>
                    <w:rPr>
                      <w:rFonts w:ascii="仿宋_GB2312" w:hAnsi="仿宋_GB2312" w:cs="仿宋_GB2312" w:eastAsia="仿宋_GB2312"/>
                      <w:sz w:val="24"/>
                      <w:color w:val="000000"/>
                    </w:rPr>
                    <w:t>侧拼抗剪强度</w:t>
                  </w:r>
                  <w:r>
                    <w:rPr>
                      <w:rFonts w:ascii="仿宋_GB2312" w:hAnsi="仿宋_GB2312" w:cs="仿宋_GB2312" w:eastAsia="仿宋_GB2312"/>
                      <w:sz w:val="24"/>
                      <w:color w:val="000000"/>
                    </w:rPr>
                    <w:t>≥5MPa；</w:t>
                  </w:r>
                  <w:r>
                    <w:rPr>
                      <w:rFonts w:ascii="仿宋_GB2312" w:hAnsi="仿宋_GB2312" w:cs="仿宋_GB2312" w:eastAsia="仿宋_GB2312"/>
                      <w:sz w:val="24"/>
                      <w:color w:val="000000"/>
                    </w:rPr>
                    <w:t>阻燃等级</w:t>
                  </w:r>
                  <w:r>
                    <w:rPr>
                      <w:rFonts w:ascii="仿宋_GB2312" w:hAnsi="仿宋_GB2312" w:cs="仿宋_GB2312" w:eastAsia="仿宋_GB2312"/>
                      <w:sz w:val="24"/>
                      <w:color w:val="000000"/>
                    </w:rPr>
                    <w:t>B</w:t>
                  </w:r>
                  <w:r>
                    <w:rPr>
                      <w:rFonts w:ascii="仿宋_GB2312" w:hAnsi="仿宋_GB2312" w:cs="仿宋_GB2312" w:eastAsia="仿宋_GB2312"/>
                      <w:sz w:val="24"/>
                      <w:color w:val="000000"/>
                      <w:vertAlign w:val="subscript"/>
                    </w:rPr>
                    <w:t>1</w:t>
                  </w:r>
                  <w:r>
                    <w:rPr>
                      <w:rFonts w:ascii="仿宋_GB2312" w:hAnsi="仿宋_GB2312" w:cs="仿宋_GB2312" w:eastAsia="仿宋_GB2312"/>
                      <w:sz w:val="24"/>
                      <w:color w:val="000000"/>
                    </w:rPr>
                    <w:t>级。</w:t>
                  </w:r>
                </w:p>
                <w:p>
                  <w:pPr>
                    <w:pStyle w:val="null3"/>
                    <w:jc w:val="left"/>
                  </w:pPr>
                  <w:r>
                    <w:rPr>
                      <w:rFonts w:ascii="仿宋_GB2312" w:hAnsi="仿宋_GB2312" w:cs="仿宋_GB2312" w:eastAsia="仿宋_GB2312"/>
                      <w:sz w:val="24"/>
                      <w:color w:val="000000"/>
                    </w:rPr>
                    <w:t>具备相应资质的检测机构出具的检测报告佐证，进场面板抽样送检树种。</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w:t>
                  </w:r>
                </w:p>
              </w:tc>
              <w:tc>
                <w:tcPr>
                  <w:tcW w:type="dxa" w:w="221"/>
                  <w:vMerge/>
                  <w:tcBorders>
                    <w:top w:val="none" w:color="000000" w:sz="4"/>
                    <w:left w:val="single" w:color="000000" w:sz="4"/>
                    <w:bottom w:val="single" w:color="000000" w:sz="4"/>
                    <w:right w:val="single" w:color="000000" w:sz="4"/>
                  </w:tcBorders>
                </w:tcP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运动木地板</w:t>
                  </w:r>
                </w:p>
                <w:p>
                  <w:pPr>
                    <w:pStyle w:val="null3"/>
                    <w:jc w:val="center"/>
                  </w:pPr>
                  <w:r>
                    <w:rPr>
                      <w:rFonts w:ascii="仿宋_GB2312" w:hAnsi="仿宋_GB2312" w:cs="仿宋_GB2312" w:eastAsia="仿宋_GB2312"/>
                      <w:sz w:val="24"/>
                      <w:color w:val="000000"/>
                    </w:rPr>
                    <w:t>油漆</w:t>
                  </w:r>
                </w:p>
              </w:tc>
              <w:tc>
                <w:tcPr>
                  <w:tcW w:type="dxa" w:w="1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运动木地板专用防滑、耐磨</w:t>
                  </w:r>
                  <w:r>
                    <w:rPr>
                      <w:rFonts w:ascii="仿宋_GB2312" w:hAnsi="仿宋_GB2312" w:cs="仿宋_GB2312" w:eastAsia="仿宋_GB2312"/>
                      <w:sz w:val="24"/>
                      <w:color w:val="000000"/>
                    </w:rPr>
                    <w:t>UV漆，滚涂工艺，环保满足GB18581-2020《木器涂料中有害物质限量》，光泽度≤45%，耐光色牢度≥灰度卡4级；</w:t>
                  </w:r>
                </w:p>
                <w:p>
                  <w:pPr>
                    <w:pStyle w:val="null3"/>
                    <w:jc w:val="left"/>
                  </w:pPr>
                  <w:r>
                    <w:rPr>
                      <w:rFonts w:ascii="仿宋_GB2312" w:hAnsi="仿宋_GB2312" w:cs="仿宋_GB2312" w:eastAsia="仿宋_GB2312"/>
                      <w:sz w:val="24"/>
                      <w:color w:val="000000"/>
                    </w:rPr>
                    <w:t>具备相应资质的检测机构出具的检测报告佐证。</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221"/>
                  <w:vMerge/>
                  <w:tcBorders>
                    <w:top w:val="none" w:color="000000" w:sz="4"/>
                    <w:left w:val="single" w:color="000000" w:sz="4"/>
                    <w:bottom w:val="single" w:color="000000" w:sz="4"/>
                    <w:right w:val="single" w:color="000000" w:sz="4"/>
                  </w:tcBorders>
                </w:tcP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无纺布</w:t>
                  </w:r>
                </w:p>
              </w:tc>
              <w:tc>
                <w:tcPr>
                  <w:tcW w:type="dxa" w:w="1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1.外观要求：无破洞，无明显影响外观的污渍、无异物、无硬块、无褶皱、无接头、无铺网不良；</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理化性能</w:t>
                  </w:r>
                  <w:r>
                    <w:rPr>
                      <w:rFonts w:ascii="仿宋_GB2312" w:hAnsi="仿宋_GB2312" w:cs="仿宋_GB2312" w:eastAsia="仿宋_GB2312"/>
                      <w:sz w:val="24"/>
                      <w:color w:val="000000"/>
                    </w:rPr>
                    <w:t>：</w:t>
                  </w:r>
                  <w:r>
                    <w:rPr>
                      <w:rFonts w:ascii="仿宋_GB2312" w:hAnsi="仿宋_GB2312" w:cs="仿宋_GB2312" w:eastAsia="仿宋_GB2312"/>
                      <w:sz w:val="24"/>
                      <w:color w:val="000000"/>
                    </w:rPr>
                    <w:t>厚度变异系数</w:t>
                  </w:r>
                  <w:r>
                    <w:rPr>
                      <w:rFonts w:ascii="仿宋_GB2312" w:hAnsi="仿宋_GB2312" w:cs="仿宋_GB2312" w:eastAsia="仿宋_GB2312"/>
                      <w:sz w:val="24"/>
                      <w:color w:val="000000"/>
                    </w:rPr>
                    <w:t>≤5%；幅宽偏差±3mm；断裂强力：纵向≥280N、横向≥280N；断裂伸长率18-75%；钉杆撕裂强力≥100N；粘接牢度等级≥4；垂直渗透系数1.0~9.9×（10</w:t>
                  </w:r>
                  <w:r>
                    <w:rPr>
                      <w:rFonts w:ascii="仿宋_GB2312" w:hAnsi="仿宋_GB2312" w:cs="仿宋_GB2312" w:eastAsia="仿宋_GB2312"/>
                      <w:sz w:val="24"/>
                      <w:color w:val="000000"/>
                      <w:vertAlign w:val="superscript"/>
                    </w:rPr>
                    <w:t>-1</w:t>
                  </w:r>
                  <w:r>
                    <w:rPr>
                      <w:rFonts w:ascii="仿宋_GB2312" w:hAnsi="仿宋_GB2312" w:cs="仿宋_GB2312" w:eastAsia="仿宋_GB2312"/>
                      <w:sz w:val="24"/>
                      <w:color w:val="000000"/>
                    </w:rPr>
                    <w:t>~10</w:t>
                  </w:r>
                  <w:r>
                    <w:rPr>
                      <w:rFonts w:ascii="仿宋_GB2312" w:hAnsi="仿宋_GB2312" w:cs="仿宋_GB2312" w:eastAsia="仿宋_GB2312"/>
                      <w:sz w:val="24"/>
                      <w:color w:val="000000"/>
                      <w:vertAlign w:val="superscript"/>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cm/s</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3.提供具备相应资质的检测机构出具的检测报告佐证。</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w:t>
                  </w:r>
                </w:p>
              </w:tc>
              <w:tc>
                <w:tcPr>
                  <w:tcW w:type="dxa" w:w="221"/>
                  <w:vMerge/>
                  <w:tcBorders>
                    <w:top w:val="none" w:color="000000" w:sz="4"/>
                    <w:left w:val="single" w:color="000000" w:sz="4"/>
                    <w:bottom w:val="single" w:color="000000" w:sz="4"/>
                    <w:right w:val="single" w:color="000000" w:sz="4"/>
                  </w:tcBorders>
                </w:tcP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胶合</w:t>
                  </w:r>
                  <w:r>
                    <w:rPr>
                      <w:rFonts w:ascii="仿宋_GB2312" w:hAnsi="仿宋_GB2312" w:cs="仿宋_GB2312" w:eastAsia="仿宋_GB2312"/>
                      <w:sz w:val="24"/>
                      <w:color w:val="000000"/>
                    </w:rPr>
                    <w:t>板</w:t>
                  </w:r>
                </w:p>
              </w:tc>
              <w:tc>
                <w:tcPr>
                  <w:tcW w:type="dxa" w:w="1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采用高温高压</w:t>
                  </w:r>
                  <w:r>
                    <w:rPr>
                      <w:rFonts w:ascii="仿宋_GB2312" w:hAnsi="仿宋_GB2312" w:cs="仿宋_GB2312" w:eastAsia="仿宋_GB2312"/>
                      <w:sz w:val="24"/>
                      <w:color w:val="000000"/>
                    </w:rPr>
                    <w:t>承载</w:t>
                  </w:r>
                  <w:r>
                    <w:rPr>
                      <w:rFonts w:ascii="仿宋_GB2312" w:hAnsi="仿宋_GB2312" w:cs="仿宋_GB2312" w:eastAsia="仿宋_GB2312"/>
                      <w:sz w:val="24"/>
                      <w:color w:val="000000"/>
                    </w:rPr>
                    <w:t>板，材质为落叶松，</w:t>
                  </w:r>
                  <w:r>
                    <w:rPr>
                      <w:rFonts w:ascii="仿宋_GB2312" w:hAnsi="仿宋_GB2312" w:cs="仿宋_GB2312" w:eastAsia="仿宋_GB2312"/>
                      <w:sz w:val="24"/>
                      <w:color w:val="000000"/>
                    </w:rPr>
                    <w:t>规格不大于</w:t>
                  </w:r>
                  <w:r>
                    <w:rPr>
                      <w:rFonts w:ascii="仿宋_GB2312" w:hAnsi="仿宋_GB2312" w:cs="仿宋_GB2312" w:eastAsia="仿宋_GB2312"/>
                      <w:sz w:val="24"/>
                      <w:color w:val="000000"/>
                    </w:rPr>
                    <w:t>12×910×1800mm；</w:t>
                  </w:r>
                </w:p>
                <w:p>
                  <w:pPr>
                    <w:pStyle w:val="null3"/>
                    <w:jc w:val="left"/>
                  </w:pPr>
                  <w:r>
                    <w:rPr>
                      <w:rFonts w:ascii="仿宋_GB2312" w:hAnsi="仿宋_GB2312" w:cs="仿宋_GB2312" w:eastAsia="仿宋_GB2312"/>
                      <w:sz w:val="24"/>
                      <w:color w:val="000000"/>
                    </w:rPr>
                    <w:t>2.外观要求：死</w:t>
                  </w:r>
                  <w:r>
                    <w:rPr>
                      <w:rFonts w:ascii="仿宋_GB2312" w:hAnsi="仿宋_GB2312" w:cs="仿宋_GB2312" w:eastAsia="仿宋_GB2312"/>
                      <w:sz w:val="24"/>
                      <w:color w:val="000000"/>
                    </w:rPr>
                    <w:t>节、孔洞最大长径</w:t>
                  </w:r>
                  <w:r>
                    <w:rPr>
                      <w:rFonts w:ascii="仿宋_GB2312" w:hAnsi="仿宋_GB2312" w:cs="仿宋_GB2312" w:eastAsia="仿宋_GB2312"/>
                      <w:sz w:val="24"/>
                      <w:color w:val="000000"/>
                    </w:rPr>
                    <w:t>≤10mm，无腐朽，无扭曲，无翘曲，无鼓泡、分层，无边角缺损。</w:t>
                  </w:r>
                </w:p>
                <w:p>
                  <w:pPr>
                    <w:pStyle w:val="null3"/>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理化性能</w:t>
                  </w:r>
                  <w:r>
                    <w:rPr>
                      <w:rFonts w:ascii="仿宋_GB2312" w:hAnsi="仿宋_GB2312" w:cs="仿宋_GB2312" w:eastAsia="仿宋_GB2312"/>
                      <w:sz w:val="24"/>
                      <w:color w:val="000000"/>
                    </w:rPr>
                    <w:t>：</w:t>
                  </w:r>
                  <w:r>
                    <w:rPr>
                      <w:rFonts w:ascii="仿宋_GB2312" w:hAnsi="仿宋_GB2312" w:cs="仿宋_GB2312" w:eastAsia="仿宋_GB2312"/>
                      <w:sz w:val="24"/>
                      <w:color w:val="000000"/>
                    </w:rPr>
                    <w:t>冲击韧性</w:t>
                  </w:r>
                  <w:r>
                    <w:rPr>
                      <w:rFonts w:ascii="仿宋_GB2312" w:hAnsi="仿宋_GB2312" w:cs="仿宋_GB2312" w:eastAsia="仿宋_GB2312"/>
                      <w:sz w:val="24"/>
                      <w:color w:val="000000"/>
                    </w:rPr>
                    <w:t>≥30KJ/㎡；</w:t>
                  </w:r>
                  <w:r>
                    <w:rPr>
                      <w:rFonts w:ascii="仿宋_GB2312" w:hAnsi="仿宋_GB2312" w:cs="仿宋_GB2312" w:eastAsia="仿宋_GB2312"/>
                      <w:sz w:val="24"/>
                      <w:color w:val="000000"/>
                    </w:rPr>
                    <w:t>静曲强度</w:t>
                  </w:r>
                  <w:r>
                    <w:rPr>
                      <w:rFonts w:ascii="仿宋_GB2312" w:hAnsi="仿宋_GB2312" w:cs="仿宋_GB2312" w:eastAsia="仿宋_GB2312"/>
                      <w:sz w:val="24"/>
                      <w:color w:val="000000"/>
                    </w:rPr>
                    <w:t>≥</w:t>
                  </w:r>
                  <w:r>
                    <w:rPr>
                      <w:rFonts w:ascii="仿宋_GB2312" w:hAnsi="仿宋_GB2312" w:cs="仿宋_GB2312" w:eastAsia="仿宋_GB2312"/>
                      <w:sz w:val="24"/>
                      <w:color w:val="000000"/>
                    </w:rPr>
                    <w:t>5</w:t>
                  </w:r>
                  <w:r>
                    <w:rPr>
                      <w:rFonts w:ascii="仿宋_GB2312" w:hAnsi="仿宋_GB2312" w:cs="仿宋_GB2312" w:eastAsia="仿宋_GB2312"/>
                      <w:sz w:val="24"/>
                      <w:color w:val="000000"/>
                    </w:rPr>
                    <w:t>0</w:t>
                  </w:r>
                  <w:r>
                    <w:rPr>
                      <w:rFonts w:ascii="仿宋_GB2312" w:hAnsi="仿宋_GB2312" w:cs="仿宋_GB2312" w:eastAsia="仿宋_GB2312"/>
                      <w:sz w:val="24"/>
                      <w:color w:val="000000"/>
                    </w:rPr>
                    <w:t>Mpa</w:t>
                  </w:r>
                  <w:r>
                    <w:rPr>
                      <w:rFonts w:ascii="仿宋_GB2312" w:hAnsi="仿宋_GB2312" w:cs="仿宋_GB2312" w:eastAsia="仿宋_GB2312"/>
                      <w:sz w:val="24"/>
                      <w:color w:val="000000"/>
                    </w:rPr>
                    <w:t>；</w:t>
                  </w:r>
                  <w:r>
                    <w:rPr>
                      <w:rFonts w:ascii="仿宋_GB2312" w:hAnsi="仿宋_GB2312" w:cs="仿宋_GB2312" w:eastAsia="仿宋_GB2312"/>
                      <w:sz w:val="24"/>
                      <w:color w:val="000000"/>
                    </w:rPr>
                    <w:t>弹性模量</w:t>
                  </w:r>
                  <w:r>
                    <w:rPr>
                      <w:rFonts w:ascii="仿宋_GB2312" w:hAnsi="仿宋_GB2312" w:cs="仿宋_GB2312" w:eastAsia="仿宋_GB2312"/>
                      <w:sz w:val="24"/>
                      <w:color w:val="000000"/>
                    </w:rPr>
                    <w:t>≥</w:t>
                  </w:r>
                  <w:r>
                    <w:rPr>
                      <w:rFonts w:ascii="仿宋_GB2312" w:hAnsi="仿宋_GB2312" w:cs="仿宋_GB2312" w:eastAsia="仿宋_GB2312"/>
                      <w:sz w:val="24"/>
                      <w:color w:val="000000"/>
                    </w:rPr>
                    <w:t>6</w:t>
                  </w:r>
                  <w:r>
                    <w:rPr>
                      <w:rFonts w:ascii="仿宋_GB2312" w:hAnsi="仿宋_GB2312" w:cs="仿宋_GB2312" w:eastAsia="仿宋_GB2312"/>
                      <w:sz w:val="24"/>
                      <w:color w:val="000000"/>
                    </w:rPr>
                    <w:t>000</w:t>
                  </w:r>
                  <w:r>
                    <w:rPr>
                      <w:rFonts w:ascii="仿宋_GB2312" w:hAnsi="仿宋_GB2312" w:cs="仿宋_GB2312" w:eastAsia="仿宋_GB2312"/>
                      <w:sz w:val="24"/>
                      <w:color w:val="000000"/>
                    </w:rPr>
                    <w:t>Mpa</w:t>
                  </w:r>
                  <w:r>
                    <w:rPr>
                      <w:rFonts w:ascii="仿宋_GB2312" w:hAnsi="仿宋_GB2312" w:cs="仿宋_GB2312" w:eastAsia="仿宋_GB2312"/>
                      <w:sz w:val="24"/>
                      <w:color w:val="000000"/>
                    </w:rPr>
                    <w:t>；</w:t>
                  </w:r>
                  <w:r>
                    <w:rPr>
                      <w:rFonts w:ascii="仿宋_GB2312" w:hAnsi="仿宋_GB2312" w:cs="仿宋_GB2312" w:eastAsia="仿宋_GB2312"/>
                      <w:sz w:val="24"/>
                      <w:color w:val="000000"/>
                    </w:rPr>
                    <w:t>含水率</w:t>
                  </w:r>
                  <w:r>
                    <w:rPr>
                      <w:rFonts w:ascii="仿宋_GB2312" w:hAnsi="仿宋_GB2312" w:cs="仿宋_GB2312" w:eastAsia="仿宋_GB2312"/>
                      <w:sz w:val="24"/>
                      <w:color w:val="000000"/>
                    </w:rPr>
                    <w:t>6%~1</w:t>
                  </w: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r>
                    <w:rPr>
                      <w:rFonts w:ascii="仿宋_GB2312" w:hAnsi="仿宋_GB2312" w:cs="仿宋_GB2312" w:eastAsia="仿宋_GB2312"/>
                      <w:sz w:val="24"/>
                      <w:color w:val="000000"/>
                    </w:rPr>
                    <w:t>胶合强度</w:t>
                  </w:r>
                  <w:r>
                    <w:rPr>
                      <w:rFonts w:ascii="仿宋_GB2312" w:hAnsi="仿宋_GB2312" w:cs="仿宋_GB2312" w:eastAsia="仿宋_GB2312"/>
                      <w:sz w:val="24"/>
                      <w:color w:val="000000"/>
                    </w:rPr>
                    <w:t>≥</w:t>
                  </w:r>
                  <w:r>
                    <w:rPr>
                      <w:rFonts w:ascii="仿宋_GB2312" w:hAnsi="仿宋_GB2312" w:cs="仿宋_GB2312" w:eastAsia="仿宋_GB2312"/>
                      <w:sz w:val="24"/>
                      <w:color w:val="000000"/>
                    </w:rPr>
                    <w:t>1.0</w:t>
                  </w:r>
                  <w:r>
                    <w:rPr>
                      <w:rFonts w:ascii="仿宋_GB2312" w:hAnsi="仿宋_GB2312" w:cs="仿宋_GB2312" w:eastAsia="仿宋_GB2312"/>
                      <w:sz w:val="24"/>
                      <w:color w:val="000000"/>
                    </w:rPr>
                    <w:t>Mpa</w:t>
                  </w:r>
                  <w:r>
                    <w:rPr>
                      <w:rFonts w:ascii="仿宋_GB2312" w:hAnsi="仿宋_GB2312" w:cs="仿宋_GB2312" w:eastAsia="仿宋_GB2312"/>
                      <w:sz w:val="24"/>
                      <w:color w:val="000000"/>
                    </w:rPr>
                    <w:t>；</w:t>
                  </w:r>
                  <w:r>
                    <w:rPr>
                      <w:rFonts w:ascii="仿宋_GB2312" w:hAnsi="仿宋_GB2312" w:cs="仿宋_GB2312" w:eastAsia="仿宋_GB2312"/>
                      <w:sz w:val="24"/>
                      <w:color w:val="000000"/>
                    </w:rPr>
                    <w:t>浸渍剥离：无剥离</w:t>
                  </w:r>
                  <w:r>
                    <w:rPr>
                      <w:rFonts w:ascii="仿宋_GB2312" w:hAnsi="仿宋_GB2312" w:cs="仿宋_GB2312" w:eastAsia="仿宋_GB2312"/>
                      <w:sz w:val="24"/>
                      <w:color w:val="000000"/>
                    </w:rPr>
                    <w:t>；</w:t>
                  </w:r>
                  <w:r>
                    <w:rPr>
                      <w:rFonts w:ascii="仿宋_GB2312" w:hAnsi="仿宋_GB2312" w:cs="仿宋_GB2312" w:eastAsia="仿宋_GB2312"/>
                      <w:sz w:val="24"/>
                      <w:color w:val="000000"/>
                    </w:rPr>
                    <w:t>握螺钉力</w:t>
                  </w:r>
                  <w:r>
                    <w:rPr>
                      <w:rFonts w:ascii="仿宋_GB2312" w:hAnsi="仿宋_GB2312" w:cs="仿宋_GB2312" w:eastAsia="仿宋_GB2312"/>
                      <w:sz w:val="24"/>
                      <w:color w:val="000000"/>
                    </w:rPr>
                    <w:t>≥1700N；</w:t>
                  </w:r>
                  <w:r>
                    <w:rPr>
                      <w:rFonts w:ascii="仿宋_GB2312" w:hAnsi="仿宋_GB2312" w:cs="仿宋_GB2312" w:eastAsia="仿宋_GB2312"/>
                      <w:sz w:val="24"/>
                      <w:color w:val="000000"/>
                    </w:rPr>
                    <w:t>甲醛释放量</w:t>
                  </w:r>
                  <w:r>
                    <w:rPr>
                      <w:rFonts w:ascii="仿宋_GB2312" w:hAnsi="仿宋_GB2312" w:cs="仿宋_GB2312" w:eastAsia="仿宋_GB2312"/>
                      <w:sz w:val="21"/>
                    </w:rPr>
                    <w:t xml:space="preserve"> </w:t>
                  </w:r>
                  <w:r>
                    <w:rPr>
                      <w:rFonts w:ascii="仿宋_GB2312" w:hAnsi="仿宋_GB2312" w:cs="仿宋_GB2312" w:eastAsia="仿宋_GB2312"/>
                      <w:sz w:val="24"/>
                      <w:color w:val="000000"/>
                    </w:rPr>
                    <w:t>E</w:t>
                  </w:r>
                  <w:r>
                    <w:rPr>
                      <w:rFonts w:ascii="仿宋_GB2312" w:hAnsi="仿宋_GB2312" w:cs="仿宋_GB2312" w:eastAsia="仿宋_GB2312"/>
                      <w:sz w:val="24"/>
                      <w:color w:val="000000"/>
                      <w:vertAlign w:val="subscript"/>
                    </w:rPr>
                    <w:t>NF</w:t>
                  </w:r>
                  <w:r>
                    <w:rPr>
                      <w:rFonts w:ascii="仿宋_GB2312" w:hAnsi="仿宋_GB2312" w:cs="仿宋_GB2312" w:eastAsia="仿宋_GB2312"/>
                      <w:sz w:val="24"/>
                      <w:color w:val="000000"/>
                    </w:rPr>
                    <w:t>≤0.</w:t>
                  </w:r>
                  <w:r>
                    <w:rPr>
                      <w:rFonts w:ascii="仿宋_GB2312" w:hAnsi="仿宋_GB2312" w:cs="仿宋_GB2312" w:eastAsia="仿宋_GB2312"/>
                      <w:sz w:val="24"/>
                      <w:color w:val="000000"/>
                    </w:rPr>
                    <w:t>025</w:t>
                  </w:r>
                  <w:r>
                    <w:rPr>
                      <w:rFonts w:ascii="仿宋_GB2312" w:hAnsi="仿宋_GB2312" w:cs="仿宋_GB2312" w:eastAsia="仿宋_GB2312"/>
                      <w:sz w:val="24"/>
                      <w:color w:val="000000"/>
                    </w:rPr>
                    <w:t>mg</w:t>
                  </w:r>
                  <w:r>
                    <w:rPr>
                      <w:rFonts w:ascii="仿宋_GB2312" w:hAnsi="仿宋_GB2312" w:cs="仿宋_GB2312" w:eastAsia="仿宋_GB2312"/>
                      <w:sz w:val="24"/>
                      <w:color w:val="000000"/>
                    </w:rPr>
                    <w:t>/m³</w:t>
                  </w:r>
                  <w:r>
                    <w:rPr>
                      <w:rFonts w:ascii="仿宋_GB2312" w:hAnsi="仿宋_GB2312" w:cs="仿宋_GB2312" w:eastAsia="仿宋_GB2312"/>
                      <w:sz w:val="24"/>
                      <w:color w:val="000000"/>
                    </w:rPr>
                    <w:t>；</w:t>
                  </w:r>
                  <w:r>
                    <w:rPr>
                      <w:rFonts w:ascii="仿宋_GB2312" w:hAnsi="仿宋_GB2312" w:cs="仿宋_GB2312" w:eastAsia="仿宋_GB2312"/>
                      <w:sz w:val="24"/>
                      <w:color w:val="000000"/>
                    </w:rPr>
                    <w:t>阻燃等级</w:t>
                  </w:r>
                  <w:r>
                    <w:rPr>
                      <w:rFonts w:ascii="仿宋_GB2312" w:hAnsi="仿宋_GB2312" w:cs="仿宋_GB2312" w:eastAsia="仿宋_GB2312"/>
                      <w:sz w:val="24"/>
                      <w:color w:val="000000"/>
                    </w:rPr>
                    <w:t>B</w:t>
                  </w:r>
                  <w:r>
                    <w:rPr>
                      <w:rFonts w:ascii="仿宋_GB2312" w:hAnsi="仿宋_GB2312" w:cs="仿宋_GB2312" w:eastAsia="仿宋_GB2312"/>
                      <w:sz w:val="24"/>
                      <w:color w:val="000000"/>
                      <w:vertAlign w:val="subscript"/>
                    </w:rPr>
                    <w:t>1</w:t>
                  </w:r>
                  <w:r>
                    <w:rPr>
                      <w:rFonts w:ascii="仿宋_GB2312" w:hAnsi="仿宋_GB2312" w:cs="仿宋_GB2312" w:eastAsia="仿宋_GB2312"/>
                      <w:sz w:val="24"/>
                      <w:color w:val="000000"/>
                    </w:rPr>
                    <w:t>级。</w:t>
                  </w:r>
                </w:p>
                <w:p>
                  <w:pPr>
                    <w:pStyle w:val="null3"/>
                    <w:jc w:val="left"/>
                  </w:pPr>
                  <w:r>
                    <w:rPr>
                      <w:rFonts w:ascii="仿宋_GB2312" w:hAnsi="仿宋_GB2312" w:cs="仿宋_GB2312" w:eastAsia="仿宋_GB2312"/>
                      <w:sz w:val="24"/>
                      <w:color w:val="000000"/>
                    </w:rPr>
                    <w:t>提供具备相应资质的检测机构出具的检测报告佐证。</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w:t>
                  </w:r>
                </w:p>
              </w:tc>
              <w:tc>
                <w:tcPr>
                  <w:tcW w:type="dxa" w:w="221"/>
                  <w:vMerge/>
                  <w:tcBorders>
                    <w:top w:val="none" w:color="000000" w:sz="4"/>
                    <w:left w:val="single" w:color="000000" w:sz="4"/>
                    <w:bottom w:val="single" w:color="000000" w:sz="4"/>
                    <w:right w:val="single" w:color="000000" w:sz="4"/>
                  </w:tcBorders>
                </w:tcP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龙骨</w:t>
                  </w:r>
                </w:p>
              </w:tc>
              <w:tc>
                <w:tcPr>
                  <w:tcW w:type="dxa" w:w="1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采用双层</w:t>
                  </w:r>
                  <w:r>
                    <w:rPr>
                      <w:rFonts w:ascii="仿宋_GB2312" w:hAnsi="仿宋_GB2312" w:cs="仿宋_GB2312" w:eastAsia="仿宋_GB2312"/>
                      <w:sz w:val="24"/>
                      <w:color w:val="000000"/>
                    </w:rPr>
                    <w:t>LVL</w:t>
                  </w:r>
                  <w:r>
                    <w:rPr>
                      <w:rFonts w:ascii="仿宋_GB2312" w:hAnsi="仿宋_GB2312" w:cs="仿宋_GB2312" w:eastAsia="仿宋_GB2312"/>
                      <w:sz w:val="21"/>
                    </w:rPr>
                    <w:t xml:space="preserve"> </w:t>
                  </w:r>
                  <w:r>
                    <w:rPr>
                      <w:rFonts w:ascii="仿宋_GB2312" w:hAnsi="仿宋_GB2312" w:cs="仿宋_GB2312" w:eastAsia="仿宋_GB2312"/>
                      <w:sz w:val="24"/>
                      <w:color w:val="000000"/>
                    </w:rPr>
                    <w:t>龙骨结构，材质为落叶松，</w:t>
                  </w:r>
                  <w:r>
                    <w:rPr>
                      <w:rFonts w:ascii="仿宋_GB2312" w:hAnsi="仿宋_GB2312" w:cs="仿宋_GB2312" w:eastAsia="仿宋_GB2312"/>
                      <w:sz w:val="24"/>
                      <w:color w:val="000000"/>
                    </w:rPr>
                    <w:t>单层龙骨规格不大于</w:t>
                  </w:r>
                  <w:r>
                    <w:rPr>
                      <w:rFonts w:ascii="仿宋_GB2312" w:hAnsi="仿宋_GB2312" w:cs="仿宋_GB2312" w:eastAsia="仿宋_GB2312"/>
                      <w:sz w:val="24"/>
                      <w:color w:val="000000"/>
                    </w:rPr>
                    <w:t>14×78×1840</w:t>
                  </w:r>
                  <w:r>
                    <w:rPr>
                      <w:rFonts w:ascii="仿宋_GB2312" w:hAnsi="仿宋_GB2312" w:cs="仿宋_GB2312" w:eastAsia="仿宋_GB2312"/>
                      <w:sz w:val="24"/>
                      <w:color w:val="000000"/>
                    </w:rPr>
                    <w:t>mm</w:t>
                  </w:r>
                  <w:r>
                    <w:rPr>
                      <w:rFonts w:ascii="仿宋_GB2312" w:hAnsi="仿宋_GB2312" w:cs="仿宋_GB2312" w:eastAsia="仿宋_GB2312"/>
                      <w:sz w:val="24"/>
                      <w:color w:val="000000"/>
                    </w:rPr>
                    <w:t>，</w:t>
                  </w:r>
                  <w:r>
                    <w:rPr>
                      <w:rFonts w:ascii="仿宋_GB2312" w:hAnsi="仿宋_GB2312" w:cs="仿宋_GB2312" w:eastAsia="仿宋_GB2312"/>
                      <w:sz w:val="24"/>
                      <w:color w:val="000000"/>
                    </w:rPr>
                    <w:t>双层龙骨规格不大于</w:t>
                  </w:r>
                  <w:r>
                    <w:rPr>
                      <w:rFonts w:ascii="仿宋_GB2312" w:hAnsi="仿宋_GB2312" w:cs="仿宋_GB2312" w:eastAsia="仿宋_GB2312"/>
                      <w:sz w:val="24"/>
                      <w:color w:val="000000"/>
                    </w:rPr>
                    <w:t>33×78×1840mm，双层龙骨间内置二次缓冲分散垫片，厚度不小于5mm。</w:t>
                  </w:r>
                </w:p>
                <w:p>
                  <w:pPr>
                    <w:pStyle w:val="null3"/>
                    <w:jc w:val="left"/>
                  </w:pPr>
                  <w:r>
                    <w:rPr>
                      <w:rFonts w:ascii="仿宋_GB2312" w:hAnsi="仿宋_GB2312" w:cs="仿宋_GB2312" w:eastAsia="仿宋_GB2312"/>
                      <w:sz w:val="24"/>
                      <w:color w:val="000000"/>
                    </w:rPr>
                    <w:t>外观要求：死节、孔洞最大长径</w:t>
                  </w:r>
                  <w:r>
                    <w:rPr>
                      <w:rFonts w:ascii="仿宋_GB2312" w:hAnsi="仿宋_GB2312" w:cs="仿宋_GB2312" w:eastAsia="仿宋_GB2312"/>
                      <w:sz w:val="24"/>
                      <w:color w:val="000000"/>
                    </w:rPr>
                    <w:t>≤10mm，无腐朽，无扭曲，无翘曲，</w:t>
                  </w:r>
                  <w:r>
                    <w:rPr>
                      <w:rFonts w:ascii="仿宋_GB2312" w:hAnsi="仿宋_GB2312" w:cs="仿宋_GB2312" w:eastAsia="仿宋_GB2312"/>
                      <w:sz w:val="24"/>
                      <w:color w:val="000000"/>
                    </w:rPr>
                    <w:t>无鼓泡分层，无边角缺损；</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理</w:t>
                  </w:r>
                  <w:r>
                    <w:rPr>
                      <w:rFonts w:ascii="仿宋_GB2312" w:hAnsi="仿宋_GB2312" w:cs="仿宋_GB2312" w:eastAsia="仿宋_GB2312"/>
                      <w:sz w:val="24"/>
                      <w:color w:val="000000"/>
                    </w:rPr>
                    <w:t>化性能：</w:t>
                  </w:r>
                  <w:r>
                    <w:rPr>
                      <w:rFonts w:ascii="仿宋_GB2312" w:hAnsi="仿宋_GB2312" w:cs="仿宋_GB2312" w:eastAsia="仿宋_GB2312"/>
                      <w:sz w:val="24"/>
                      <w:color w:val="000000"/>
                    </w:rPr>
                    <w:t>冲击韧性</w:t>
                  </w:r>
                  <w:r>
                    <w:rPr>
                      <w:rFonts w:ascii="仿宋_GB2312" w:hAnsi="仿宋_GB2312" w:cs="仿宋_GB2312" w:eastAsia="仿宋_GB2312"/>
                      <w:sz w:val="24"/>
                      <w:color w:val="000000"/>
                    </w:rPr>
                    <w:t>≥50KJ/㎡；</w:t>
                  </w:r>
                  <w:r>
                    <w:rPr>
                      <w:rFonts w:ascii="仿宋_GB2312" w:hAnsi="仿宋_GB2312" w:cs="仿宋_GB2312" w:eastAsia="仿宋_GB2312"/>
                      <w:sz w:val="24"/>
                      <w:color w:val="000000"/>
                    </w:rPr>
                    <w:t>静曲强度</w:t>
                  </w:r>
                  <w:r>
                    <w:rPr>
                      <w:rFonts w:ascii="仿宋_GB2312" w:hAnsi="仿宋_GB2312" w:cs="仿宋_GB2312" w:eastAsia="仿宋_GB2312"/>
                      <w:sz w:val="24"/>
                      <w:color w:val="000000"/>
                    </w:rPr>
                    <w:t>≥</w:t>
                  </w:r>
                  <w:r>
                    <w:rPr>
                      <w:rFonts w:ascii="仿宋_GB2312" w:hAnsi="仿宋_GB2312" w:cs="仿宋_GB2312" w:eastAsia="仿宋_GB2312"/>
                      <w:sz w:val="24"/>
                      <w:color w:val="000000"/>
                    </w:rPr>
                    <w:t>6</w:t>
                  </w:r>
                  <w:r>
                    <w:rPr>
                      <w:rFonts w:ascii="仿宋_GB2312" w:hAnsi="仿宋_GB2312" w:cs="仿宋_GB2312" w:eastAsia="仿宋_GB2312"/>
                      <w:sz w:val="24"/>
                      <w:color w:val="000000"/>
                    </w:rPr>
                    <w:t>0</w:t>
                  </w:r>
                  <w:r>
                    <w:rPr>
                      <w:rFonts w:ascii="仿宋_GB2312" w:hAnsi="仿宋_GB2312" w:cs="仿宋_GB2312" w:eastAsia="仿宋_GB2312"/>
                      <w:sz w:val="24"/>
                      <w:color w:val="000000"/>
                    </w:rPr>
                    <w:t>Mpa</w:t>
                  </w:r>
                  <w:r>
                    <w:rPr>
                      <w:rFonts w:ascii="仿宋_GB2312" w:hAnsi="仿宋_GB2312" w:cs="仿宋_GB2312" w:eastAsia="仿宋_GB2312"/>
                      <w:sz w:val="24"/>
                      <w:color w:val="000000"/>
                    </w:rPr>
                    <w:t>；</w:t>
                  </w:r>
                  <w:r>
                    <w:rPr>
                      <w:rFonts w:ascii="仿宋_GB2312" w:hAnsi="仿宋_GB2312" w:cs="仿宋_GB2312" w:eastAsia="仿宋_GB2312"/>
                      <w:sz w:val="24"/>
                      <w:color w:val="000000"/>
                    </w:rPr>
                    <w:t>弹性模量</w:t>
                  </w:r>
                  <w:r>
                    <w:rPr>
                      <w:rFonts w:ascii="仿宋_GB2312" w:hAnsi="仿宋_GB2312" w:cs="仿宋_GB2312" w:eastAsia="仿宋_GB2312"/>
                      <w:sz w:val="24"/>
                      <w:color w:val="000000"/>
                    </w:rPr>
                    <w:t>≥</w:t>
                  </w:r>
                  <w:r>
                    <w:rPr>
                      <w:rFonts w:ascii="仿宋_GB2312" w:hAnsi="仿宋_GB2312" w:cs="仿宋_GB2312" w:eastAsia="仿宋_GB2312"/>
                      <w:sz w:val="24"/>
                      <w:color w:val="000000"/>
                    </w:rPr>
                    <w:t>9</w:t>
                  </w:r>
                  <w:r>
                    <w:rPr>
                      <w:rFonts w:ascii="仿宋_GB2312" w:hAnsi="仿宋_GB2312" w:cs="仿宋_GB2312" w:eastAsia="仿宋_GB2312"/>
                      <w:sz w:val="24"/>
                      <w:color w:val="000000"/>
                    </w:rPr>
                    <w:t>000</w:t>
                  </w:r>
                  <w:r>
                    <w:rPr>
                      <w:rFonts w:ascii="仿宋_GB2312" w:hAnsi="仿宋_GB2312" w:cs="仿宋_GB2312" w:eastAsia="仿宋_GB2312"/>
                      <w:sz w:val="24"/>
                      <w:color w:val="000000"/>
                    </w:rPr>
                    <w:t>Mpa</w:t>
                  </w:r>
                  <w:r>
                    <w:rPr>
                      <w:rFonts w:ascii="仿宋_GB2312" w:hAnsi="仿宋_GB2312" w:cs="仿宋_GB2312" w:eastAsia="仿宋_GB2312"/>
                      <w:sz w:val="24"/>
                      <w:color w:val="000000"/>
                    </w:rPr>
                    <w:t>；</w:t>
                  </w:r>
                  <w:r>
                    <w:rPr>
                      <w:rFonts w:ascii="仿宋_GB2312" w:hAnsi="仿宋_GB2312" w:cs="仿宋_GB2312" w:eastAsia="仿宋_GB2312"/>
                      <w:sz w:val="24"/>
                      <w:color w:val="000000"/>
                    </w:rPr>
                    <w:t>含水率</w:t>
                  </w:r>
                  <w:r>
                    <w:rPr>
                      <w:rFonts w:ascii="仿宋_GB2312" w:hAnsi="仿宋_GB2312" w:cs="仿宋_GB2312" w:eastAsia="仿宋_GB2312"/>
                      <w:sz w:val="24"/>
                      <w:color w:val="000000"/>
                    </w:rPr>
                    <w:t>6%~1</w:t>
                  </w:r>
                  <w:r>
                    <w:rPr>
                      <w:rFonts w:ascii="仿宋_GB2312" w:hAnsi="仿宋_GB2312" w:cs="仿宋_GB2312" w:eastAsia="仿宋_GB2312"/>
                      <w:sz w:val="24"/>
                      <w:color w:val="000000"/>
                    </w:rPr>
                    <w:t>4</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r>
                    <w:rPr>
                      <w:rFonts w:ascii="仿宋_GB2312" w:hAnsi="仿宋_GB2312" w:cs="仿宋_GB2312" w:eastAsia="仿宋_GB2312"/>
                      <w:sz w:val="24"/>
                      <w:color w:val="000000"/>
                    </w:rPr>
                    <w:t>浸渍剥离：无剥离</w:t>
                  </w:r>
                  <w:r>
                    <w:rPr>
                      <w:rFonts w:ascii="仿宋_GB2312" w:hAnsi="仿宋_GB2312" w:cs="仿宋_GB2312" w:eastAsia="仿宋_GB2312"/>
                      <w:sz w:val="24"/>
                      <w:color w:val="000000"/>
                    </w:rPr>
                    <w:t>；</w:t>
                  </w:r>
                  <w:r>
                    <w:rPr>
                      <w:rFonts w:ascii="仿宋_GB2312" w:hAnsi="仿宋_GB2312" w:cs="仿宋_GB2312" w:eastAsia="仿宋_GB2312"/>
                      <w:sz w:val="24"/>
                      <w:color w:val="000000"/>
                    </w:rPr>
                    <w:t>握螺钉力</w:t>
                  </w:r>
                  <w:r>
                    <w:rPr>
                      <w:rFonts w:ascii="仿宋_GB2312" w:hAnsi="仿宋_GB2312" w:cs="仿宋_GB2312" w:eastAsia="仿宋_GB2312"/>
                      <w:sz w:val="24"/>
                      <w:color w:val="000000"/>
                    </w:rPr>
                    <w:t>≥1700N；</w:t>
                  </w:r>
                  <w:r>
                    <w:rPr>
                      <w:rFonts w:ascii="仿宋_GB2312" w:hAnsi="仿宋_GB2312" w:cs="仿宋_GB2312" w:eastAsia="仿宋_GB2312"/>
                      <w:sz w:val="24"/>
                      <w:color w:val="000000"/>
                    </w:rPr>
                    <w:t>甲醛释放量</w:t>
                  </w:r>
                  <w:r>
                    <w:rPr>
                      <w:rFonts w:ascii="仿宋_GB2312" w:hAnsi="仿宋_GB2312" w:cs="仿宋_GB2312" w:eastAsia="仿宋_GB2312"/>
                      <w:sz w:val="21"/>
                    </w:rPr>
                    <w:t xml:space="preserve"> </w:t>
                  </w:r>
                  <w:r>
                    <w:rPr>
                      <w:rFonts w:ascii="仿宋_GB2312" w:hAnsi="仿宋_GB2312" w:cs="仿宋_GB2312" w:eastAsia="仿宋_GB2312"/>
                      <w:sz w:val="24"/>
                      <w:color w:val="000000"/>
                    </w:rPr>
                    <w:t>E</w:t>
                  </w:r>
                  <w:r>
                    <w:rPr>
                      <w:rFonts w:ascii="仿宋_GB2312" w:hAnsi="仿宋_GB2312" w:cs="仿宋_GB2312" w:eastAsia="仿宋_GB2312"/>
                      <w:sz w:val="24"/>
                      <w:color w:val="000000"/>
                      <w:vertAlign w:val="subscript"/>
                    </w:rPr>
                    <w:t>NF</w:t>
                  </w:r>
                  <w:r>
                    <w:rPr>
                      <w:rFonts w:ascii="仿宋_GB2312" w:hAnsi="仿宋_GB2312" w:cs="仿宋_GB2312" w:eastAsia="仿宋_GB2312"/>
                      <w:sz w:val="24"/>
                      <w:color w:val="000000"/>
                    </w:rPr>
                    <w:t>≤0.</w:t>
                  </w:r>
                  <w:r>
                    <w:rPr>
                      <w:rFonts w:ascii="仿宋_GB2312" w:hAnsi="仿宋_GB2312" w:cs="仿宋_GB2312" w:eastAsia="仿宋_GB2312"/>
                      <w:sz w:val="24"/>
                      <w:color w:val="000000"/>
                    </w:rPr>
                    <w:t>025</w:t>
                  </w:r>
                  <w:r>
                    <w:rPr>
                      <w:rFonts w:ascii="仿宋_GB2312" w:hAnsi="仿宋_GB2312" w:cs="仿宋_GB2312" w:eastAsia="仿宋_GB2312"/>
                      <w:sz w:val="24"/>
                      <w:color w:val="000000"/>
                    </w:rPr>
                    <w:t>mg</w:t>
                  </w:r>
                  <w:r>
                    <w:rPr>
                      <w:rFonts w:ascii="仿宋_GB2312" w:hAnsi="仿宋_GB2312" w:cs="仿宋_GB2312" w:eastAsia="仿宋_GB2312"/>
                      <w:sz w:val="24"/>
                      <w:color w:val="000000"/>
                    </w:rPr>
                    <w:t>/m³</w:t>
                  </w:r>
                  <w:r>
                    <w:rPr>
                      <w:rFonts w:ascii="仿宋_GB2312" w:hAnsi="仿宋_GB2312" w:cs="仿宋_GB2312" w:eastAsia="仿宋_GB2312"/>
                      <w:sz w:val="24"/>
                      <w:color w:val="000000"/>
                    </w:rPr>
                    <w:t>；</w:t>
                  </w:r>
                  <w:r>
                    <w:rPr>
                      <w:rFonts w:ascii="仿宋_GB2312" w:hAnsi="仿宋_GB2312" w:cs="仿宋_GB2312" w:eastAsia="仿宋_GB2312"/>
                      <w:sz w:val="24"/>
                      <w:color w:val="000000"/>
                    </w:rPr>
                    <w:t>阻燃等级</w:t>
                  </w:r>
                  <w:r>
                    <w:rPr>
                      <w:rFonts w:ascii="仿宋_GB2312" w:hAnsi="仿宋_GB2312" w:cs="仿宋_GB2312" w:eastAsia="仿宋_GB2312"/>
                      <w:sz w:val="24"/>
                      <w:color w:val="000000"/>
                    </w:rPr>
                    <w:t>B</w:t>
                  </w:r>
                  <w:r>
                    <w:rPr>
                      <w:rFonts w:ascii="仿宋_GB2312" w:hAnsi="仿宋_GB2312" w:cs="仿宋_GB2312" w:eastAsia="仿宋_GB2312"/>
                      <w:sz w:val="24"/>
                      <w:color w:val="000000"/>
                      <w:vertAlign w:val="subscript"/>
                    </w:rPr>
                    <w:t>1</w:t>
                  </w:r>
                  <w:r>
                    <w:rPr>
                      <w:rFonts w:ascii="仿宋_GB2312" w:hAnsi="仿宋_GB2312" w:cs="仿宋_GB2312" w:eastAsia="仿宋_GB2312"/>
                      <w:sz w:val="24"/>
                      <w:color w:val="000000"/>
                    </w:rPr>
                    <w:t>级。</w:t>
                  </w:r>
                </w:p>
                <w:p>
                  <w:pPr>
                    <w:pStyle w:val="null3"/>
                    <w:jc w:val="left"/>
                  </w:pPr>
                  <w:r>
                    <w:rPr>
                      <w:rFonts w:ascii="仿宋_GB2312" w:hAnsi="仿宋_GB2312" w:cs="仿宋_GB2312" w:eastAsia="仿宋_GB2312"/>
                      <w:sz w:val="24"/>
                      <w:color w:val="000000"/>
                    </w:rPr>
                    <w:t>提供具备相应资质的检测机构出具的检测报告佐证</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w:t>
                  </w:r>
                </w:p>
              </w:tc>
              <w:tc>
                <w:tcPr>
                  <w:tcW w:type="dxa" w:w="221"/>
                  <w:vMerge/>
                  <w:tcBorders>
                    <w:top w:val="none" w:color="000000" w:sz="4"/>
                    <w:left w:val="single" w:color="000000" w:sz="4"/>
                    <w:bottom w:val="single" w:color="000000" w:sz="4"/>
                    <w:right w:val="single" w:color="000000" w:sz="4"/>
                  </w:tcBorders>
                </w:tcP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减震垫</w:t>
                  </w:r>
                </w:p>
              </w:tc>
              <w:tc>
                <w:tcPr>
                  <w:tcW w:type="dxa" w:w="1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采用</w:t>
                  </w:r>
                  <w:r>
                    <w:rPr>
                      <w:rFonts w:ascii="仿宋_GB2312" w:hAnsi="仿宋_GB2312" w:cs="仿宋_GB2312" w:eastAsia="仿宋_GB2312"/>
                      <w:sz w:val="24"/>
                      <w:color w:val="000000"/>
                    </w:rPr>
                    <w:t>体育地板专用减震垫，厚度不大于</w:t>
                  </w:r>
                  <w:r>
                    <w:rPr>
                      <w:rFonts w:ascii="仿宋_GB2312" w:hAnsi="仿宋_GB2312" w:cs="仿宋_GB2312" w:eastAsia="仿宋_GB2312"/>
                      <w:sz w:val="24"/>
                      <w:color w:val="000000"/>
                    </w:rPr>
                    <w:t>18mm</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外观无裂、缺口、异物、分层现象、颗粒大小均匀、无脱落</w:t>
                  </w:r>
                  <w:r>
                    <w:rPr>
                      <w:rFonts w:ascii="仿宋_GB2312" w:hAnsi="仿宋_GB2312" w:cs="仿宋_GB2312" w:eastAsia="仿宋_GB2312"/>
                      <w:sz w:val="24"/>
                      <w:color w:val="000000"/>
                    </w:rPr>
                    <w:t>，</w:t>
                  </w:r>
                  <w:r>
                    <w:rPr>
                      <w:rFonts w:ascii="仿宋_GB2312" w:hAnsi="仿宋_GB2312" w:cs="仿宋_GB2312" w:eastAsia="仿宋_GB2312"/>
                      <w:sz w:val="24"/>
                      <w:color w:val="000000"/>
                    </w:rPr>
                    <w:t>表观密度</w:t>
                  </w:r>
                  <w:r>
                    <w:rPr>
                      <w:rFonts w:ascii="仿宋_GB2312" w:hAnsi="仿宋_GB2312" w:cs="仿宋_GB2312" w:eastAsia="仿宋_GB2312"/>
                      <w:sz w:val="24"/>
                      <w:color w:val="000000"/>
                    </w:rPr>
                    <w:t>800-900kg/m³；</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理化性能：</w:t>
                  </w:r>
                  <w:r>
                    <w:rPr>
                      <w:rFonts w:ascii="仿宋_GB2312" w:hAnsi="仿宋_GB2312" w:cs="仿宋_GB2312" w:eastAsia="仿宋_GB2312"/>
                      <w:sz w:val="24"/>
                      <w:color w:val="000000"/>
                    </w:rPr>
                    <w:t>拉伸强度</w:t>
                  </w:r>
                  <w:r>
                    <w:rPr>
                      <w:rFonts w:ascii="仿宋_GB2312" w:hAnsi="仿宋_GB2312" w:cs="仿宋_GB2312" w:eastAsia="仿宋_GB2312"/>
                      <w:sz w:val="24"/>
                      <w:color w:val="000000"/>
                    </w:rPr>
                    <w:t>≥6.0Mpa；拉断伸长率≥300%；压碎强度≥12Mpa；阻燃性B</w:t>
                  </w:r>
                  <w:r>
                    <w:rPr>
                      <w:rFonts w:ascii="仿宋_GB2312" w:hAnsi="仿宋_GB2312" w:cs="仿宋_GB2312" w:eastAsia="仿宋_GB2312"/>
                      <w:sz w:val="24"/>
                      <w:color w:val="000000"/>
                      <w:vertAlign w:val="subscript"/>
                    </w:rPr>
                    <w:t>2</w:t>
                  </w:r>
                  <w:r>
                    <w:rPr>
                      <w:rFonts w:ascii="仿宋_GB2312" w:hAnsi="仿宋_GB2312" w:cs="仿宋_GB2312" w:eastAsia="仿宋_GB2312"/>
                      <w:sz w:val="24"/>
                      <w:color w:val="000000"/>
                    </w:rPr>
                    <w:t>级：</w:t>
                  </w:r>
                  <w:r>
                    <w:rPr>
                      <w:rFonts w:ascii="仿宋_GB2312" w:hAnsi="仿宋_GB2312" w:cs="仿宋_GB2312" w:eastAsia="仿宋_GB2312"/>
                      <w:sz w:val="24"/>
                      <w:color w:val="000000"/>
                    </w:rPr>
                    <w:t>20s内的焰尖高度Fs≤150mm、20s内无燃烧滴落物引燃滤纸现象；热空气老化（70℃×168h），拉伸强度变化率（降低）≤15%，拉断伸长率变化率（降低）≤15%；撞击声压级改善量≥20A声级dB。</w:t>
                  </w:r>
                </w:p>
                <w:p>
                  <w:pPr>
                    <w:pStyle w:val="null3"/>
                    <w:jc w:val="left"/>
                  </w:pPr>
                  <w:r>
                    <w:rPr>
                      <w:rFonts w:ascii="仿宋_GB2312" w:hAnsi="仿宋_GB2312" w:cs="仿宋_GB2312" w:eastAsia="仿宋_GB2312"/>
                      <w:sz w:val="24"/>
                      <w:color w:val="000000"/>
                    </w:rPr>
                    <w:t>提供具备相应资质的检测机构出具的检测报告佐证</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w:t>
                  </w:r>
                </w:p>
              </w:tc>
              <w:tc>
                <w:tcPr>
                  <w:tcW w:type="dxa" w:w="221"/>
                  <w:vMerge/>
                  <w:tcBorders>
                    <w:top w:val="none" w:color="000000" w:sz="4"/>
                    <w:left w:val="single" w:color="000000" w:sz="4"/>
                    <w:bottom w:val="single" w:color="000000" w:sz="4"/>
                    <w:right w:val="single" w:color="000000" w:sz="4"/>
                  </w:tcBorders>
                </w:tcP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踢脚线</w:t>
                  </w:r>
                </w:p>
              </w:tc>
              <w:tc>
                <w:tcPr>
                  <w:tcW w:type="dxa" w:w="1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与面层地板相应的实木通风式踢脚线，规格不大于</w:t>
                  </w:r>
                  <w:r>
                    <w:rPr>
                      <w:rFonts w:ascii="仿宋_GB2312" w:hAnsi="仿宋_GB2312" w:cs="仿宋_GB2312" w:eastAsia="仿宋_GB2312"/>
                      <w:sz w:val="24"/>
                      <w:color w:val="000000"/>
                    </w:rPr>
                    <w:t>60×78×1820mm；</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c>
                <w:tcPr>
                  <w:tcW w:type="dxa" w:w="22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电气</w:t>
                  </w: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配电箱</w:t>
                  </w:r>
                </w:p>
              </w:tc>
              <w:tc>
                <w:tcPr>
                  <w:tcW w:type="dxa" w:w="1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1.符合本项目工程量清单、施工图纸相关要求和国家相关标准、规范；</w:t>
                  </w:r>
                </w:p>
                <w:p>
                  <w:pPr>
                    <w:pStyle w:val="null3"/>
                    <w:jc w:val="left"/>
                  </w:pPr>
                  <w:r>
                    <w:rPr>
                      <w:rFonts w:ascii="仿宋_GB2312" w:hAnsi="仿宋_GB2312" w:cs="仿宋_GB2312" w:eastAsia="仿宋_GB2312"/>
                      <w:sz w:val="24"/>
                      <w:color w:val="000000"/>
                    </w:rPr>
                    <w:t>2.箱体、元器件安装底板均采用大型钢厂冷轧钢板。配电箱箱体为喷塑，颜色为电脑灰色；安装底板应镀锌；</w:t>
                  </w:r>
                </w:p>
                <w:p>
                  <w:pPr>
                    <w:pStyle w:val="null3"/>
                    <w:jc w:val="left"/>
                  </w:pPr>
                  <w:r>
                    <w:rPr>
                      <w:rFonts w:ascii="仿宋_GB2312" w:hAnsi="仿宋_GB2312" w:cs="仿宋_GB2312" w:eastAsia="仿宋_GB2312"/>
                      <w:sz w:val="24"/>
                      <w:color w:val="000000"/>
                    </w:rPr>
                    <w:t>3.箱内布线要分色；一次线、铜排、辅料均采用合格产品</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4.施工图纸中箱体规格尺寸仅供参考，报价不再因箱体尺寸变化而变化</w:t>
                  </w:r>
                  <w:r>
                    <w:rPr>
                      <w:rFonts w:ascii="仿宋_GB2312" w:hAnsi="仿宋_GB2312" w:cs="仿宋_GB2312" w:eastAsia="仿宋_GB2312"/>
                      <w:sz w:val="24"/>
                      <w:color w:val="000000"/>
                    </w:rPr>
                    <w:t>；</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w:t>
                  </w:r>
                </w:p>
              </w:tc>
              <w:tc>
                <w:tcPr>
                  <w:tcW w:type="dxa" w:w="221"/>
                  <w:vMerge/>
                  <w:tcBorders>
                    <w:top w:val="none" w:color="000000" w:sz="4"/>
                    <w:left w:val="single" w:color="000000" w:sz="4"/>
                    <w:bottom w:val="single" w:color="000000" w:sz="4"/>
                    <w:right w:val="single" w:color="000000" w:sz="4"/>
                  </w:tcBorders>
                </w:tcP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电线</w:t>
                  </w:r>
                </w:p>
              </w:tc>
              <w:tc>
                <w:tcPr>
                  <w:tcW w:type="dxa" w:w="1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采用低烟低毒阻燃型线缆、矿物绝缘类不燃性电缆等，且导体材料采用铜芯</w:t>
                  </w:r>
                  <w:r>
                    <w:rPr>
                      <w:rFonts w:ascii="仿宋_GB2312" w:hAnsi="仿宋_GB2312" w:cs="仿宋_GB2312" w:eastAsia="仿宋_GB2312"/>
                      <w:sz w:val="24"/>
                      <w:color w:val="000000"/>
                    </w:rPr>
                    <w:t>,</w:t>
                  </w:r>
                  <w:r>
                    <w:rPr>
                      <w:rFonts w:ascii="仿宋_GB2312" w:hAnsi="仿宋_GB2312" w:cs="仿宋_GB2312" w:eastAsia="仿宋_GB2312"/>
                      <w:sz w:val="24"/>
                      <w:color w:val="000000"/>
                    </w:rPr>
                    <w:t>符合本项目工程量清单、施工图纸相关要求，符合</w:t>
                  </w:r>
                  <w:r>
                    <w:rPr>
                      <w:rFonts w:ascii="仿宋_GB2312" w:hAnsi="仿宋_GB2312" w:cs="仿宋_GB2312" w:eastAsia="仿宋_GB2312"/>
                      <w:sz w:val="24"/>
                      <w:color w:val="000000"/>
                    </w:rPr>
                    <w:t>国家相关标准、规范</w:t>
                  </w:r>
                  <w:r>
                    <w:rPr>
                      <w:rFonts w:ascii="仿宋_GB2312" w:hAnsi="仿宋_GB2312" w:cs="仿宋_GB2312" w:eastAsia="仿宋_GB2312"/>
                      <w:sz w:val="24"/>
                      <w:color w:val="000000"/>
                    </w:rPr>
                    <w:t>；</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w:t>
                  </w:r>
                </w:p>
              </w:tc>
              <w:tc>
                <w:tcPr>
                  <w:tcW w:type="dxa" w:w="221"/>
                  <w:vMerge/>
                  <w:tcBorders>
                    <w:top w:val="none" w:color="000000" w:sz="4"/>
                    <w:left w:val="single" w:color="000000" w:sz="4"/>
                    <w:bottom w:val="single" w:color="000000" w:sz="4"/>
                    <w:right w:val="single" w:color="000000" w:sz="4"/>
                  </w:tcBorders>
                </w:tcP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线管</w:t>
                  </w:r>
                </w:p>
              </w:tc>
              <w:tc>
                <w:tcPr>
                  <w:tcW w:type="dxa" w:w="1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节能环保产品，符合本项目工程量清单、施工图纸相关要求，符合</w:t>
                  </w:r>
                  <w:r>
                    <w:rPr>
                      <w:rFonts w:ascii="仿宋_GB2312" w:hAnsi="仿宋_GB2312" w:cs="仿宋_GB2312" w:eastAsia="仿宋_GB2312"/>
                      <w:sz w:val="24"/>
                      <w:color w:val="000000"/>
                    </w:rPr>
                    <w:t>国家相关标准、规范</w:t>
                  </w:r>
                  <w:r>
                    <w:rPr>
                      <w:rFonts w:ascii="仿宋_GB2312" w:hAnsi="仿宋_GB2312" w:cs="仿宋_GB2312" w:eastAsia="仿宋_GB2312"/>
                      <w:sz w:val="24"/>
                      <w:color w:val="000000"/>
                    </w:rPr>
                    <w:t>；</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221"/>
                  <w:vMerge/>
                  <w:tcBorders>
                    <w:top w:val="none" w:color="000000" w:sz="4"/>
                    <w:left w:val="single" w:color="000000" w:sz="4"/>
                    <w:bottom w:val="single" w:color="000000" w:sz="4"/>
                    <w:right w:val="single" w:color="000000" w:sz="4"/>
                  </w:tcBorders>
                </w:tcP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开关</w:t>
                  </w:r>
                  <w:r>
                    <w:rPr>
                      <w:rFonts w:ascii="仿宋_GB2312" w:hAnsi="仿宋_GB2312" w:cs="仿宋_GB2312" w:eastAsia="仿宋_GB2312"/>
                      <w:sz w:val="24"/>
                      <w:color w:val="000000"/>
                    </w:rPr>
                    <w:t>/插座</w:t>
                  </w:r>
                  <w:r>
                    <w:rPr>
                      <w:rFonts w:ascii="仿宋_GB2312" w:hAnsi="仿宋_GB2312" w:cs="仿宋_GB2312" w:eastAsia="仿宋_GB2312"/>
                      <w:sz w:val="24"/>
                      <w:color w:val="000000"/>
                    </w:rPr>
                    <w:t>面板</w:t>
                  </w:r>
                </w:p>
              </w:tc>
              <w:tc>
                <w:tcPr>
                  <w:tcW w:type="dxa" w:w="1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220V，64A/32A/16A/10A等，</w:t>
                  </w:r>
                  <w:r>
                    <w:rPr>
                      <w:rFonts w:ascii="仿宋_GB2312" w:hAnsi="仿宋_GB2312" w:cs="仿宋_GB2312" w:eastAsia="仿宋_GB2312"/>
                      <w:sz w:val="24"/>
                      <w:color w:val="000000"/>
                    </w:rPr>
                    <w:t>节能环保产品，符合本项目工程量清单、施工图纸相关要求，符合</w:t>
                  </w:r>
                  <w:r>
                    <w:rPr>
                      <w:rFonts w:ascii="仿宋_GB2312" w:hAnsi="仿宋_GB2312" w:cs="仿宋_GB2312" w:eastAsia="仿宋_GB2312"/>
                      <w:sz w:val="24"/>
                      <w:color w:val="000000"/>
                    </w:rPr>
                    <w:t>国家相关标准、规范</w:t>
                  </w:r>
                  <w:r>
                    <w:rPr>
                      <w:rFonts w:ascii="仿宋_GB2312" w:hAnsi="仿宋_GB2312" w:cs="仿宋_GB2312" w:eastAsia="仿宋_GB2312"/>
                      <w:sz w:val="24"/>
                      <w:color w:val="000000"/>
                    </w:rPr>
                    <w:t>；</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29</w:t>
                  </w:r>
                </w:p>
              </w:tc>
              <w:tc>
                <w:tcPr>
                  <w:tcW w:type="dxa" w:w="221"/>
                  <w:vMerge/>
                  <w:tcBorders>
                    <w:top w:val="none" w:color="000000" w:sz="4"/>
                    <w:left w:val="single" w:color="000000" w:sz="4"/>
                    <w:bottom w:val="single" w:color="000000" w:sz="4"/>
                    <w:right w:val="single" w:color="000000" w:sz="4"/>
                  </w:tcBorders>
                </w:tcP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空气</w:t>
                  </w:r>
                </w:p>
                <w:p>
                  <w:pPr>
                    <w:pStyle w:val="null3"/>
                    <w:jc w:val="center"/>
                  </w:pPr>
                  <w:r>
                    <w:rPr>
                      <w:rFonts w:ascii="仿宋_GB2312" w:hAnsi="仿宋_GB2312" w:cs="仿宋_GB2312" w:eastAsia="仿宋_GB2312"/>
                      <w:sz w:val="24"/>
                      <w:color w:val="000000"/>
                    </w:rPr>
                    <w:t>开关</w:t>
                  </w:r>
                </w:p>
              </w:tc>
              <w:tc>
                <w:tcPr>
                  <w:tcW w:type="dxa" w:w="1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16/32A等，带漏电保护。节能环保产品，符合本项目工程量清单、施工图纸相关要求，符合</w:t>
                  </w:r>
                  <w:r>
                    <w:rPr>
                      <w:rFonts w:ascii="仿宋_GB2312" w:hAnsi="仿宋_GB2312" w:cs="仿宋_GB2312" w:eastAsia="仿宋_GB2312"/>
                      <w:sz w:val="24"/>
                      <w:color w:val="000000"/>
                    </w:rPr>
                    <w:t>国家相关标准、规范</w:t>
                  </w:r>
                  <w:r>
                    <w:rPr>
                      <w:rFonts w:ascii="仿宋_GB2312" w:hAnsi="仿宋_GB2312" w:cs="仿宋_GB2312" w:eastAsia="仿宋_GB2312"/>
                      <w:sz w:val="24"/>
                      <w:color w:val="000000"/>
                    </w:rPr>
                    <w:t>；</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c>
                <w:tcPr>
                  <w:tcW w:type="dxa" w:w="221"/>
                  <w:vMerge/>
                  <w:tcBorders>
                    <w:top w:val="none" w:color="000000" w:sz="4"/>
                    <w:left w:val="single" w:color="000000" w:sz="4"/>
                    <w:bottom w:val="single" w:color="000000" w:sz="4"/>
                    <w:right w:val="single" w:color="000000" w:sz="4"/>
                  </w:tcBorders>
                </w:tcP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照明</w:t>
                  </w:r>
                </w:p>
                <w:p>
                  <w:pPr>
                    <w:pStyle w:val="null3"/>
                    <w:jc w:val="center"/>
                  </w:pPr>
                  <w:r>
                    <w:rPr>
                      <w:rFonts w:ascii="仿宋_GB2312" w:hAnsi="仿宋_GB2312" w:cs="仿宋_GB2312" w:eastAsia="仿宋_GB2312"/>
                      <w:sz w:val="24"/>
                      <w:color w:val="000000"/>
                    </w:rPr>
                    <w:t>灯具</w:t>
                  </w:r>
                </w:p>
              </w:tc>
              <w:tc>
                <w:tcPr>
                  <w:tcW w:type="dxa" w:w="1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参数详见设计图纸、工程量清单，符合本项目工程量清单、施工图纸相关要求，符合</w:t>
                  </w:r>
                  <w:r>
                    <w:rPr>
                      <w:rFonts w:ascii="仿宋_GB2312" w:hAnsi="仿宋_GB2312" w:cs="仿宋_GB2312" w:eastAsia="仿宋_GB2312"/>
                      <w:sz w:val="24"/>
                      <w:color w:val="000000"/>
                    </w:rPr>
                    <w:t>国家相关标准、规范</w:t>
                  </w:r>
                  <w:r>
                    <w:rPr>
                      <w:rFonts w:ascii="仿宋_GB2312" w:hAnsi="仿宋_GB2312" w:cs="仿宋_GB2312" w:eastAsia="仿宋_GB2312"/>
                      <w:sz w:val="24"/>
                      <w:color w:val="000000"/>
                    </w:rPr>
                    <w:t>；</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31</w:t>
                  </w:r>
                </w:p>
              </w:tc>
              <w:tc>
                <w:tcPr>
                  <w:tcW w:type="dxa" w:w="22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给排水</w:t>
                  </w: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PVC</w:t>
                  </w:r>
                  <w:r>
                    <w:rPr>
                      <w:rFonts w:ascii="仿宋_GB2312" w:hAnsi="仿宋_GB2312" w:cs="仿宋_GB2312" w:eastAsia="仿宋_GB2312"/>
                      <w:sz w:val="24"/>
                      <w:color w:val="000000"/>
                    </w:rPr>
                    <w:t>水管</w:t>
                  </w:r>
                </w:p>
              </w:tc>
              <w:tc>
                <w:tcPr>
                  <w:tcW w:type="dxa" w:w="1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1.铅限量≤100mg/kg（适用于聚氯乙烯（PVC）类塑料管材管件）；</w:t>
                  </w:r>
                </w:p>
                <w:p>
                  <w:pPr>
                    <w:pStyle w:val="null3"/>
                    <w:jc w:val="left"/>
                  </w:pPr>
                  <w:r>
                    <w:rPr>
                      <w:rFonts w:ascii="仿宋_GB2312" w:hAnsi="仿宋_GB2312" w:cs="仿宋_GB2312" w:eastAsia="仿宋_GB2312"/>
                      <w:sz w:val="24"/>
                      <w:color w:val="000000"/>
                    </w:rPr>
                    <w:t>2.密度＜1450kg/m</w:t>
                  </w:r>
                  <w:r>
                    <w:rPr>
                      <w:rFonts w:ascii="仿宋_GB2312" w:hAnsi="仿宋_GB2312" w:cs="仿宋_GB2312" w:eastAsia="仿宋_GB2312"/>
                      <w:sz w:val="24"/>
                      <w:color w:val="000000"/>
                      <w:vertAlign w:val="superscript"/>
                    </w:rPr>
                    <w:t>3</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3.内排水管道系统噪声＜48dB（适用于聚氯乙烯（PVC）类塑料管材管件）。</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w:t>
                  </w:r>
                </w:p>
              </w:tc>
              <w:tc>
                <w:tcPr>
                  <w:tcW w:type="dxa" w:w="221"/>
                  <w:vMerge/>
                  <w:tcBorders>
                    <w:top w:val="none" w:color="000000" w:sz="4"/>
                    <w:left w:val="single" w:color="000000" w:sz="4"/>
                    <w:bottom w:val="single" w:color="000000" w:sz="4"/>
                    <w:right w:val="single" w:color="000000" w:sz="4"/>
                  </w:tcBorders>
                </w:tcP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洁具</w:t>
                  </w:r>
                </w:p>
              </w:tc>
              <w:tc>
                <w:tcPr>
                  <w:tcW w:type="dxa" w:w="1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全部洁具的用水效率等级达到</w:t>
                  </w:r>
                  <w:r>
                    <w:rPr>
                      <w:rFonts w:ascii="仿宋_GB2312" w:hAnsi="仿宋_GB2312" w:cs="仿宋_GB2312" w:eastAsia="仿宋_GB2312"/>
                      <w:sz w:val="24"/>
                      <w:color w:val="000000"/>
                    </w:rPr>
                    <w:t>2 级（依据 GB 28377、GB 28379、GB 30717、GB/T 50378）</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33</w:t>
                  </w:r>
                </w:p>
              </w:tc>
              <w:tc>
                <w:tcPr>
                  <w:tcW w:type="dxa" w:w="221"/>
                  <w:vMerge/>
                  <w:tcBorders>
                    <w:top w:val="none" w:color="000000" w:sz="4"/>
                    <w:left w:val="single" w:color="000000" w:sz="4"/>
                    <w:bottom w:val="single" w:color="000000" w:sz="4"/>
                    <w:right w:val="single" w:color="000000" w:sz="4"/>
                  </w:tcBorders>
                </w:tcP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洗手盆</w:t>
                  </w:r>
                </w:p>
              </w:tc>
              <w:tc>
                <w:tcPr>
                  <w:tcW w:type="dxa" w:w="1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成品台盆含柜体，</w:t>
                  </w:r>
                  <w:r>
                    <w:rPr>
                      <w:rFonts w:ascii="仿宋_GB2312" w:hAnsi="仿宋_GB2312" w:cs="仿宋_GB2312" w:eastAsia="仿宋_GB2312"/>
                      <w:sz w:val="24"/>
                      <w:color w:val="000000"/>
                    </w:rPr>
                    <w:t>含柜体、下水线、五金件、把手等</w:t>
                  </w:r>
                  <w:r>
                    <w:rPr>
                      <w:rFonts w:ascii="仿宋_GB2312" w:hAnsi="仿宋_GB2312" w:cs="仿宋_GB2312" w:eastAsia="仿宋_GB2312"/>
                      <w:sz w:val="24"/>
                      <w:color w:val="000000"/>
                    </w:rPr>
                    <w:t>；</w:t>
                  </w:r>
                  <w:r>
                    <w:rPr>
                      <w:rFonts w:ascii="仿宋_GB2312" w:hAnsi="仿宋_GB2312" w:cs="仿宋_GB2312" w:eastAsia="仿宋_GB2312"/>
                      <w:sz w:val="24"/>
                      <w:color w:val="000000"/>
                    </w:rPr>
                    <w:t>板材为</w:t>
                  </w:r>
                  <w:r>
                    <w:rPr>
                      <w:rFonts w:ascii="仿宋_GB2312" w:hAnsi="仿宋_GB2312" w:cs="仿宋_GB2312" w:eastAsia="仿宋_GB2312"/>
                      <w:sz w:val="24"/>
                      <w:color w:val="000000"/>
                    </w:rPr>
                    <w:t>E1级多层实木板；陶瓷</w:t>
                  </w:r>
                  <w:r>
                    <w:rPr>
                      <w:rFonts w:ascii="仿宋_GB2312" w:hAnsi="仿宋_GB2312" w:cs="仿宋_GB2312" w:eastAsia="仿宋_GB2312"/>
                      <w:sz w:val="24"/>
                      <w:color w:val="000000"/>
                    </w:rPr>
                    <w:t>耐污染性</w:t>
                  </w:r>
                  <w:r>
                    <w:rPr>
                      <w:rFonts w:ascii="仿宋_GB2312" w:hAnsi="仿宋_GB2312" w:cs="仿宋_GB2312" w:eastAsia="仿宋_GB2312"/>
                      <w:sz w:val="24"/>
                      <w:color w:val="000000"/>
                    </w:rPr>
                    <w:t>≥3 级</w:t>
                  </w:r>
                  <w:r>
                    <w:rPr>
                      <w:rFonts w:ascii="仿宋_GB2312" w:hAnsi="仿宋_GB2312" w:cs="仿宋_GB2312" w:eastAsia="仿宋_GB2312"/>
                      <w:sz w:val="24"/>
                      <w:color w:val="000000"/>
                    </w:rPr>
                    <w:t>；</w:t>
                  </w:r>
                  <w:r>
                    <w:rPr>
                      <w:rFonts w:ascii="仿宋_GB2312" w:hAnsi="仿宋_GB2312" w:cs="仿宋_GB2312" w:eastAsia="仿宋_GB2312"/>
                      <w:sz w:val="24"/>
                      <w:color w:val="000000"/>
                    </w:rPr>
                    <w:t>不锈钢下水线</w:t>
                  </w:r>
                  <w:r>
                    <w:rPr>
                      <w:rFonts w:ascii="仿宋_GB2312" w:hAnsi="仿宋_GB2312" w:cs="仿宋_GB2312" w:eastAsia="仿宋_GB2312"/>
                      <w:sz w:val="24"/>
                      <w:color w:val="000000"/>
                    </w:rPr>
                    <w:t>。</w:t>
                  </w:r>
                  <w:r>
                    <w:rPr>
                      <w:rFonts w:ascii="仿宋_GB2312" w:hAnsi="仿宋_GB2312" w:cs="仿宋_GB2312" w:eastAsia="仿宋_GB2312"/>
                      <w:sz w:val="24"/>
                      <w:color w:val="000000"/>
                    </w:rPr>
                    <w:t>节能环保产品，符合本项目工程量清单、施工图纸相关要求，符合</w:t>
                  </w:r>
                  <w:r>
                    <w:rPr>
                      <w:rFonts w:ascii="仿宋_GB2312" w:hAnsi="仿宋_GB2312" w:cs="仿宋_GB2312" w:eastAsia="仿宋_GB2312"/>
                      <w:sz w:val="24"/>
                      <w:color w:val="000000"/>
                    </w:rPr>
                    <w:t>国家相关标准、规范</w:t>
                  </w:r>
                  <w:r>
                    <w:rPr>
                      <w:rFonts w:ascii="仿宋_GB2312" w:hAnsi="仿宋_GB2312" w:cs="仿宋_GB2312" w:eastAsia="仿宋_GB2312"/>
                      <w:sz w:val="24"/>
                      <w:color w:val="000000"/>
                    </w:rPr>
                    <w:t>；</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34</w:t>
                  </w:r>
                </w:p>
              </w:tc>
              <w:tc>
                <w:tcPr>
                  <w:tcW w:type="dxa" w:w="221"/>
                  <w:vMerge/>
                  <w:tcBorders>
                    <w:top w:val="none" w:color="000000" w:sz="4"/>
                    <w:left w:val="single" w:color="000000" w:sz="4"/>
                    <w:bottom w:val="single" w:color="000000" w:sz="4"/>
                    <w:right w:val="single" w:color="000000" w:sz="4"/>
                  </w:tcBorders>
                </w:tcP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水咀</w:t>
                  </w:r>
                </w:p>
              </w:tc>
              <w:tc>
                <w:tcPr>
                  <w:tcW w:type="dxa" w:w="1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不锈钢拉丝水咀，</w:t>
                  </w:r>
                  <w:r>
                    <w:rPr>
                      <w:rFonts w:ascii="仿宋_GB2312" w:hAnsi="仿宋_GB2312" w:cs="仿宋_GB2312" w:eastAsia="仿宋_GB2312"/>
                      <w:sz w:val="24"/>
                      <w:color w:val="000000"/>
                    </w:rPr>
                    <w:t>产品金属污染物析出统计值：</w:t>
                  </w:r>
                </w:p>
                <w:p>
                  <w:pPr>
                    <w:pStyle w:val="null3"/>
                    <w:jc w:val="left"/>
                  </w:pPr>
                  <w:r>
                    <w:rPr>
                      <w:rFonts w:ascii="仿宋_GB2312" w:hAnsi="仿宋_GB2312" w:cs="仿宋_GB2312" w:eastAsia="仿宋_GB2312"/>
                      <w:sz w:val="24"/>
                      <w:color w:val="000000"/>
                    </w:rPr>
                    <w:t>Pb≤4μg/L</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Cu≤100μg/L</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Cr≤7μg/L</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Cd≤0.4μg/L</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As≤0.7μg/L</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Cr6+≤1.5μg/L</w:t>
                  </w:r>
                  <w:r>
                    <w:rPr>
                      <w:rFonts w:ascii="仿宋_GB2312" w:hAnsi="仿宋_GB2312" w:cs="仿宋_GB2312" w:eastAsia="仿宋_GB2312"/>
                      <w:sz w:val="24"/>
                      <w:color w:val="000000"/>
                    </w:rPr>
                    <w:t>；</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w:t>
                  </w:r>
                </w:p>
              </w:tc>
              <w:tc>
                <w:tcPr>
                  <w:tcW w:type="dxa" w:w="221"/>
                  <w:vMerge/>
                  <w:tcBorders>
                    <w:top w:val="none" w:color="000000" w:sz="4"/>
                    <w:left w:val="single" w:color="000000" w:sz="4"/>
                    <w:bottom w:val="single" w:color="000000" w:sz="4"/>
                    <w:right w:val="single" w:color="000000" w:sz="4"/>
                  </w:tcBorders>
                </w:tcP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大便器</w:t>
                  </w:r>
                </w:p>
              </w:tc>
              <w:tc>
                <w:tcPr>
                  <w:tcW w:type="dxa" w:w="1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液压</w:t>
                  </w:r>
                  <w:r>
                    <w:rPr>
                      <w:rFonts w:ascii="仿宋_GB2312" w:hAnsi="仿宋_GB2312" w:cs="仿宋_GB2312" w:eastAsia="仿宋_GB2312"/>
                      <w:sz w:val="24"/>
                      <w:color w:val="000000"/>
                    </w:rPr>
                    <w:t>不锈钢</w:t>
                  </w:r>
                  <w:r>
                    <w:rPr>
                      <w:rFonts w:ascii="仿宋_GB2312" w:hAnsi="仿宋_GB2312" w:cs="仿宋_GB2312" w:eastAsia="仿宋_GB2312"/>
                      <w:sz w:val="24"/>
                      <w:color w:val="000000"/>
                    </w:rPr>
                    <w:t>脚踏冲洗阀</w:t>
                  </w:r>
                  <w:r>
                    <w:rPr>
                      <w:rFonts w:ascii="仿宋_GB2312" w:hAnsi="仿宋_GB2312" w:cs="仿宋_GB2312" w:eastAsia="仿宋_GB2312"/>
                      <w:sz w:val="24"/>
                      <w:color w:val="000000"/>
                    </w:rPr>
                    <w:t>/感应阀前排水单排</w:t>
                  </w:r>
                  <w:r>
                    <w:rPr>
                      <w:rFonts w:ascii="仿宋_GB2312" w:hAnsi="仿宋_GB2312" w:cs="仿宋_GB2312" w:eastAsia="仿宋_GB2312"/>
                      <w:sz w:val="24"/>
                      <w:color w:val="000000"/>
                    </w:rPr>
                    <w:t>蹲式大便器</w:t>
                  </w:r>
                  <w:r>
                    <w:rPr>
                      <w:rFonts w:ascii="仿宋_GB2312" w:hAnsi="仿宋_GB2312" w:cs="仿宋_GB2312" w:eastAsia="仿宋_GB2312"/>
                      <w:sz w:val="24"/>
                      <w:color w:val="000000"/>
                    </w:rPr>
                    <w:t>带存水弯</w:t>
                  </w:r>
                  <w:r>
                    <w:rPr>
                      <w:rFonts w:ascii="仿宋_GB2312" w:hAnsi="仿宋_GB2312" w:cs="仿宋_GB2312" w:eastAsia="仿宋_GB2312"/>
                      <w:sz w:val="24"/>
                      <w:color w:val="000000"/>
                    </w:rPr>
                    <w:t>，</w:t>
                  </w:r>
                  <w:r>
                    <w:rPr>
                      <w:rFonts w:ascii="仿宋_GB2312" w:hAnsi="仿宋_GB2312" w:cs="仿宋_GB2312" w:eastAsia="仿宋_GB2312"/>
                      <w:sz w:val="24"/>
                      <w:color w:val="000000"/>
                    </w:rPr>
                    <w:t>符合国家相关标准、规范。</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36</w:t>
                  </w:r>
                </w:p>
              </w:tc>
              <w:tc>
                <w:tcPr>
                  <w:tcW w:type="dxa" w:w="221"/>
                  <w:vMerge/>
                  <w:tcBorders>
                    <w:top w:val="none" w:color="000000" w:sz="4"/>
                    <w:left w:val="single" w:color="000000" w:sz="4"/>
                    <w:bottom w:val="single" w:color="000000" w:sz="4"/>
                    <w:right w:val="single" w:color="000000" w:sz="4"/>
                  </w:tcBorders>
                </w:tcP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小便器</w:t>
                  </w:r>
                </w:p>
              </w:tc>
              <w:tc>
                <w:tcPr>
                  <w:tcW w:type="dxa" w:w="1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上进地排分体式悬挂小便器</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37</w:t>
                  </w:r>
                </w:p>
              </w:tc>
              <w:tc>
                <w:tcPr>
                  <w:tcW w:type="dxa" w:w="221"/>
                  <w:vMerge/>
                  <w:tcBorders>
                    <w:top w:val="none" w:color="000000" w:sz="4"/>
                    <w:left w:val="single" w:color="000000" w:sz="4"/>
                    <w:bottom w:val="single" w:color="000000" w:sz="4"/>
                    <w:right w:val="single" w:color="000000" w:sz="4"/>
                  </w:tcBorders>
                </w:tcP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阀门</w:t>
                  </w:r>
                </w:p>
              </w:tc>
              <w:tc>
                <w:tcPr>
                  <w:tcW w:type="dxa" w:w="1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参数详见设计图纸、工程量清单，符合本项目工程量清单、施工图纸相关要求，符合</w:t>
                  </w:r>
                  <w:r>
                    <w:rPr>
                      <w:rFonts w:ascii="仿宋_GB2312" w:hAnsi="仿宋_GB2312" w:cs="仿宋_GB2312" w:eastAsia="仿宋_GB2312"/>
                      <w:sz w:val="24"/>
                      <w:color w:val="000000"/>
                    </w:rPr>
                    <w:t>国家相关标准、规范</w:t>
                  </w:r>
                  <w:r>
                    <w:rPr>
                      <w:rFonts w:ascii="仿宋_GB2312" w:hAnsi="仿宋_GB2312" w:cs="仿宋_GB2312" w:eastAsia="仿宋_GB2312"/>
                      <w:sz w:val="24"/>
                      <w:color w:val="000000"/>
                    </w:rPr>
                    <w:t>；</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38</w:t>
                  </w:r>
                </w:p>
              </w:tc>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暖通</w:t>
                  </w: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散热器</w:t>
                  </w:r>
                </w:p>
              </w:tc>
              <w:tc>
                <w:tcPr>
                  <w:tcW w:type="dxa" w:w="1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TDD1-5-5(8)q=143w/片</w:t>
                  </w:r>
                  <w:r>
                    <w:rPr>
                      <w:rFonts w:ascii="仿宋_GB2312" w:hAnsi="仿宋_GB2312" w:cs="仿宋_GB2312" w:eastAsia="仿宋_GB2312"/>
                      <w:sz w:val="24"/>
                      <w:color w:val="000000"/>
                    </w:rPr>
                    <w:t>，</w:t>
                  </w:r>
                  <w:r>
                    <w:rPr>
                      <w:rFonts w:ascii="仿宋_GB2312" w:hAnsi="仿宋_GB2312" w:cs="仿宋_GB2312" w:eastAsia="仿宋_GB2312"/>
                      <w:sz w:val="24"/>
                      <w:color w:val="000000"/>
                    </w:rPr>
                    <w:t>参数详见设计图纸、工程量清单，符合本项目工程量清单、施工图纸相关要求，符合</w:t>
                  </w:r>
                  <w:r>
                    <w:rPr>
                      <w:rFonts w:ascii="仿宋_GB2312" w:hAnsi="仿宋_GB2312" w:cs="仿宋_GB2312" w:eastAsia="仿宋_GB2312"/>
                      <w:sz w:val="24"/>
                      <w:color w:val="000000"/>
                    </w:rPr>
                    <w:t>国家相关标准、规范</w:t>
                  </w:r>
                  <w:r>
                    <w:rPr>
                      <w:rFonts w:ascii="仿宋_GB2312" w:hAnsi="仿宋_GB2312" w:cs="仿宋_GB2312" w:eastAsia="仿宋_GB2312"/>
                      <w:sz w:val="24"/>
                      <w:color w:val="000000"/>
                    </w:rPr>
                    <w:t>；</w:t>
                  </w:r>
                </w:p>
              </w:tc>
            </w:tr>
          </w:tbl>
          <w:p>
            <w:pPr>
              <w:pStyle w:val="null3"/>
              <w:ind w:firstLine="482"/>
              <w:jc w:val="both"/>
            </w:pPr>
            <w:r>
              <w:rPr>
                <w:rFonts w:ascii="仿宋_GB2312" w:hAnsi="仿宋_GB2312" w:cs="仿宋_GB2312" w:eastAsia="仿宋_GB2312"/>
                <w:sz w:val="24"/>
                <w:b/>
                <w:color w:val="000000"/>
              </w:rPr>
              <w:t>备注</w:t>
            </w:r>
            <w:r>
              <w:rPr>
                <w:rFonts w:ascii="仿宋_GB2312" w:hAnsi="仿宋_GB2312" w:cs="仿宋_GB2312" w:eastAsia="仿宋_GB2312"/>
                <w:sz w:val="24"/>
                <w:b/>
                <w:color w:val="000000"/>
              </w:rPr>
              <w:t>：</w:t>
            </w:r>
          </w:p>
          <w:p>
            <w:pPr>
              <w:pStyle w:val="null3"/>
              <w:ind w:firstLine="480"/>
              <w:jc w:val="both"/>
            </w:pPr>
            <w:r>
              <w:rPr>
                <w:rFonts w:ascii="仿宋_GB2312" w:hAnsi="仿宋_GB2312" w:cs="仿宋_GB2312" w:eastAsia="仿宋_GB2312"/>
                <w:sz w:val="24"/>
                <w:color w:val="000000"/>
              </w:rPr>
              <w:t>★1.地板系统厚度</w:t>
            </w:r>
            <w:r>
              <w:rPr>
                <w:rFonts w:ascii="仿宋_GB2312" w:hAnsi="仿宋_GB2312" w:cs="仿宋_GB2312" w:eastAsia="仿宋_GB2312"/>
                <w:sz w:val="24"/>
                <w:color w:val="000000"/>
              </w:rPr>
              <w:t>≤</w:t>
            </w:r>
            <w:r>
              <w:rPr>
                <w:rFonts w:ascii="仿宋_GB2312" w:hAnsi="仿宋_GB2312" w:cs="仿宋_GB2312" w:eastAsia="仿宋_GB2312"/>
                <w:sz w:val="24"/>
                <w:color w:val="000000"/>
              </w:rPr>
              <w:t>90mm，含调平措施后的整体结构厚度</w:t>
            </w:r>
            <w:r>
              <w:rPr>
                <w:rFonts w:ascii="仿宋_GB2312" w:hAnsi="仿宋_GB2312" w:cs="仿宋_GB2312" w:eastAsia="仿宋_GB2312"/>
                <w:sz w:val="24"/>
                <w:color w:val="000000"/>
              </w:rPr>
              <w:t>≤</w:t>
            </w:r>
            <w:r>
              <w:rPr>
                <w:rFonts w:ascii="仿宋_GB2312" w:hAnsi="仿宋_GB2312" w:cs="仿宋_GB2312" w:eastAsia="仿宋_GB2312"/>
                <w:sz w:val="24"/>
                <w:color w:val="000000"/>
              </w:rPr>
              <w:t>100mm。</w:t>
            </w:r>
            <w:r>
              <w:rPr>
                <w:rFonts w:ascii="仿宋_GB2312" w:hAnsi="仿宋_GB2312" w:cs="仿宋_GB2312" w:eastAsia="仿宋_GB2312"/>
                <w:sz w:val="24"/>
                <w:color w:val="000000"/>
              </w:rPr>
              <w:t>（</w:t>
            </w:r>
            <w:r>
              <w:rPr>
                <w:rFonts w:ascii="仿宋_GB2312" w:hAnsi="仿宋_GB2312" w:cs="仿宋_GB2312" w:eastAsia="仿宋_GB2312"/>
                <w:sz w:val="24"/>
                <w:color w:val="000000"/>
              </w:rPr>
              <w:t>提供具备相应资质的检测机构出具的检测报告佐证</w:t>
            </w:r>
            <w:r>
              <w:rPr>
                <w:rFonts w:ascii="仿宋_GB2312" w:hAnsi="仿宋_GB2312" w:cs="仿宋_GB2312" w:eastAsia="仿宋_GB2312"/>
                <w:sz w:val="24"/>
                <w:color w:val="000000"/>
              </w:rPr>
              <w:t>）</w:t>
            </w:r>
          </w:p>
          <w:p>
            <w:pPr>
              <w:pStyle w:val="null3"/>
              <w:ind w:firstLine="480"/>
              <w:jc w:val="both"/>
            </w:pPr>
            <w:r>
              <w:rPr>
                <w:rFonts w:ascii="仿宋_GB2312" w:hAnsi="仿宋_GB2312" w:cs="仿宋_GB2312" w:eastAsia="仿宋_GB2312"/>
                <w:sz w:val="24"/>
                <w:color w:val="000000"/>
              </w:rPr>
              <w:t>★2.场地完工后，需邀请专业检测机构对场地进行专业运动性能检测，并提供国际篮联对本项目出具的场地证明。</w:t>
            </w:r>
            <w:r>
              <w:rPr>
                <w:rFonts w:ascii="仿宋_GB2312" w:hAnsi="仿宋_GB2312" w:cs="仿宋_GB2312" w:eastAsia="仿宋_GB2312"/>
                <w:sz w:val="24"/>
                <w:color w:val="000000"/>
              </w:rPr>
              <w:t>（提供承诺函，承诺内容应包含：</w:t>
            </w:r>
            <w:r>
              <w:rPr>
                <w:rFonts w:ascii="仿宋_GB2312" w:hAnsi="仿宋_GB2312" w:cs="仿宋_GB2312" w:eastAsia="仿宋_GB2312"/>
                <w:sz w:val="24"/>
                <w:color w:val="000000"/>
              </w:rPr>
              <w:t>“我单位承诺在本项目施工结束后，场地赛事等级满足国际篮联一级赛事标准并提供国际篮联针对本项目出具的场地证明”。具体格式自拟）</w:t>
            </w:r>
          </w:p>
          <w:p>
            <w:pPr>
              <w:pStyle w:val="null3"/>
              <w:ind w:firstLine="48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在施工过程中成交供应商若提出性能、质量、实力等同于或高于投标时的选定的产品或厂家时，必须经采购人书面同意，但由此增加的费用由供应商自行承担。</w:t>
            </w:r>
          </w:p>
          <w:p>
            <w:pPr>
              <w:pStyle w:val="null3"/>
              <w:ind w:firstLine="482"/>
              <w:jc w:val="both"/>
            </w:pPr>
            <w:r>
              <w:rPr>
                <w:rFonts w:ascii="仿宋_GB2312" w:hAnsi="仿宋_GB2312" w:cs="仿宋_GB2312" w:eastAsia="仿宋_GB2312"/>
                <w:sz w:val="24"/>
                <w:b/>
                <w:color w:val="000000"/>
              </w:rPr>
              <w:t>四、</w:t>
            </w:r>
            <w:r>
              <w:rPr>
                <w:rFonts w:ascii="仿宋_GB2312" w:hAnsi="仿宋_GB2312" w:cs="仿宋_GB2312" w:eastAsia="仿宋_GB2312"/>
                <w:sz w:val="24"/>
                <w:b/>
                <w:color w:val="000000"/>
              </w:rPr>
              <w:t>商务要求</w:t>
            </w:r>
          </w:p>
          <w:p>
            <w:pPr>
              <w:pStyle w:val="null3"/>
              <w:ind w:firstLine="482"/>
              <w:jc w:val="both"/>
            </w:pPr>
            <w:r>
              <w:rPr>
                <w:rFonts w:ascii="仿宋_GB2312" w:hAnsi="仿宋_GB2312" w:cs="仿宋_GB2312" w:eastAsia="仿宋_GB2312"/>
                <w:sz w:val="24"/>
                <w:b/>
                <w:color w:val="000000"/>
              </w:rPr>
              <w:t>（一）工期：</w:t>
            </w:r>
            <w:r>
              <w:rPr>
                <w:rFonts w:ascii="仿宋_GB2312" w:hAnsi="仿宋_GB2312" w:cs="仿宋_GB2312" w:eastAsia="仿宋_GB2312"/>
                <w:sz w:val="24"/>
                <w:color w:val="000000"/>
              </w:rPr>
              <w:t>自接到采购人开工通知之日起</w:t>
            </w:r>
            <w:r>
              <w:rPr>
                <w:rFonts w:ascii="仿宋_GB2312" w:hAnsi="仿宋_GB2312" w:cs="仿宋_GB2312" w:eastAsia="仿宋_GB2312"/>
                <w:sz w:val="24"/>
                <w:color w:val="000000"/>
              </w:rPr>
              <w:t>60</w:t>
            </w:r>
            <w:r>
              <w:rPr>
                <w:rFonts w:ascii="仿宋_GB2312" w:hAnsi="仿宋_GB2312" w:cs="仿宋_GB2312" w:eastAsia="仿宋_GB2312"/>
                <w:sz w:val="24"/>
                <w:color w:val="000000"/>
              </w:rPr>
              <w:t>个日历天</w:t>
            </w:r>
            <w:r>
              <w:rPr>
                <w:rFonts w:ascii="仿宋_GB2312" w:hAnsi="仿宋_GB2312" w:cs="仿宋_GB2312" w:eastAsia="仿宋_GB2312"/>
                <w:sz w:val="24"/>
                <w:color w:val="000000"/>
              </w:rPr>
              <w:t>，具体以项目实际需求及使用单位要求为准</w:t>
            </w:r>
            <w:r>
              <w:rPr>
                <w:rFonts w:ascii="仿宋_GB2312" w:hAnsi="仿宋_GB2312" w:cs="仿宋_GB2312" w:eastAsia="仿宋_GB2312"/>
                <w:sz w:val="24"/>
                <w:color w:val="000000"/>
              </w:rPr>
              <w:t>。</w:t>
            </w:r>
          </w:p>
          <w:p>
            <w:pPr>
              <w:pStyle w:val="null3"/>
              <w:ind w:firstLine="482"/>
              <w:jc w:val="both"/>
            </w:pPr>
            <w:r>
              <w:rPr>
                <w:rFonts w:ascii="仿宋_GB2312" w:hAnsi="仿宋_GB2312" w:cs="仿宋_GB2312" w:eastAsia="仿宋_GB2312"/>
                <w:sz w:val="24"/>
                <w:b/>
                <w:color w:val="000000"/>
              </w:rPr>
              <w:t>（二）工程地点</w:t>
            </w:r>
            <w:r>
              <w:rPr>
                <w:rFonts w:ascii="仿宋_GB2312" w:hAnsi="仿宋_GB2312" w:cs="仿宋_GB2312" w:eastAsia="仿宋_GB2312"/>
                <w:sz w:val="24"/>
                <w:color w:val="000000"/>
              </w:rPr>
              <w:t>：</w:t>
            </w:r>
            <w:r>
              <w:rPr>
                <w:rFonts w:ascii="仿宋_GB2312" w:hAnsi="仿宋_GB2312" w:cs="仿宋_GB2312" w:eastAsia="仿宋_GB2312"/>
                <w:sz w:val="24"/>
                <w:color w:val="000000"/>
              </w:rPr>
              <w:t>西安建筑科技大学雁塔校区北院文体馆</w:t>
            </w:r>
            <w:r>
              <w:rPr>
                <w:rFonts w:ascii="仿宋_GB2312" w:hAnsi="仿宋_GB2312" w:cs="仿宋_GB2312" w:eastAsia="仿宋_GB2312"/>
                <w:sz w:val="24"/>
                <w:color w:val="000000"/>
              </w:rPr>
              <w:t>。</w:t>
            </w:r>
          </w:p>
          <w:p>
            <w:pPr>
              <w:pStyle w:val="null3"/>
              <w:ind w:firstLine="482"/>
              <w:jc w:val="both"/>
            </w:pPr>
            <w:r>
              <w:rPr>
                <w:rFonts w:ascii="仿宋_GB2312" w:hAnsi="仿宋_GB2312" w:cs="仿宋_GB2312" w:eastAsia="仿宋_GB2312"/>
                <w:sz w:val="24"/>
                <w:b/>
                <w:color w:val="000000"/>
              </w:rPr>
              <w:t>（三）质量要求</w:t>
            </w:r>
            <w:r>
              <w:rPr>
                <w:rFonts w:ascii="仿宋_GB2312" w:hAnsi="仿宋_GB2312" w:cs="仿宋_GB2312" w:eastAsia="仿宋_GB2312"/>
                <w:sz w:val="24"/>
                <w:color w:val="000000"/>
              </w:rPr>
              <w:t>：质量标准执行国家、陕西省、西安市现行工程质量</w:t>
            </w:r>
            <w:r>
              <w:rPr>
                <w:rFonts w:ascii="仿宋_GB2312" w:hAnsi="仿宋_GB2312" w:cs="仿宋_GB2312" w:eastAsia="仿宋_GB2312"/>
                <w:sz w:val="24"/>
                <w:color w:val="000000"/>
              </w:rPr>
              <w:t>验收</w:t>
            </w:r>
            <w:r>
              <w:rPr>
                <w:rFonts w:ascii="仿宋_GB2312" w:hAnsi="仿宋_GB2312" w:cs="仿宋_GB2312" w:eastAsia="仿宋_GB2312"/>
                <w:sz w:val="24"/>
                <w:color w:val="000000"/>
              </w:rPr>
              <w:t>标准，施工结束后提供具有</w:t>
            </w:r>
            <w:r>
              <w:rPr>
                <w:rFonts w:ascii="仿宋_GB2312" w:hAnsi="仿宋_GB2312" w:cs="仿宋_GB2312" w:eastAsia="仿宋_GB2312"/>
                <w:sz w:val="24"/>
                <w:color w:val="000000"/>
              </w:rPr>
              <w:t>CMA/CNAS资格的第三方检测机构空气质量检测报告。</w:t>
            </w:r>
          </w:p>
          <w:p>
            <w:pPr>
              <w:pStyle w:val="null3"/>
              <w:ind w:firstLine="482"/>
              <w:jc w:val="both"/>
            </w:pPr>
            <w:r>
              <w:rPr>
                <w:rFonts w:ascii="仿宋_GB2312" w:hAnsi="仿宋_GB2312" w:cs="仿宋_GB2312" w:eastAsia="仿宋_GB2312"/>
                <w:sz w:val="24"/>
                <w:b/>
                <w:color w:val="000000"/>
              </w:rPr>
              <w:t>（四）付款方式：</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签订合同完毕，</w:t>
            </w:r>
            <w:r>
              <w:rPr>
                <w:rFonts w:ascii="仿宋_GB2312" w:hAnsi="仿宋_GB2312" w:cs="仿宋_GB2312" w:eastAsia="仿宋_GB2312"/>
                <w:sz w:val="24"/>
                <w:color w:val="000000"/>
              </w:rPr>
              <w:t>成交</w:t>
            </w:r>
            <w:r>
              <w:rPr>
                <w:rFonts w:ascii="仿宋_GB2312" w:hAnsi="仿宋_GB2312" w:cs="仿宋_GB2312" w:eastAsia="仿宋_GB2312"/>
                <w:sz w:val="24"/>
                <w:color w:val="000000"/>
              </w:rPr>
              <w:t>供应商提供由工商银行、农业银行、中国银行、建设银行、交通银行其中一家出具的不可撤销、见索即付独立保函，且保函文本须载明</w:t>
            </w:r>
            <w:r>
              <w:rPr>
                <w:rFonts w:ascii="仿宋_GB2312" w:hAnsi="仿宋_GB2312" w:cs="仿宋_GB2312" w:eastAsia="仿宋_GB2312"/>
                <w:sz w:val="24"/>
                <w:color w:val="000000"/>
              </w:rPr>
              <w:t>“开证行仅凭受益人单方签署的索赔声明付款”，甲方支付合同总价的 40%作为预付款，否则，</w:t>
            </w:r>
            <w:r>
              <w:rPr>
                <w:rFonts w:ascii="仿宋_GB2312" w:hAnsi="仿宋_GB2312" w:cs="仿宋_GB2312" w:eastAsia="仿宋_GB2312"/>
                <w:sz w:val="24"/>
                <w:color w:val="000000"/>
              </w:rPr>
              <w:t>采购人</w:t>
            </w:r>
            <w:r>
              <w:rPr>
                <w:rFonts w:ascii="仿宋_GB2312" w:hAnsi="仿宋_GB2312" w:cs="仿宋_GB2312" w:eastAsia="仿宋_GB2312"/>
                <w:sz w:val="24"/>
                <w:color w:val="000000"/>
              </w:rPr>
              <w:t>不予支付预付款。</w:t>
            </w:r>
          </w:p>
          <w:p>
            <w:pPr>
              <w:pStyle w:val="null3"/>
              <w:ind w:firstLine="480"/>
              <w:jc w:val="both"/>
            </w:pPr>
            <w:r>
              <w:rPr>
                <w:rFonts w:ascii="仿宋_GB2312" w:hAnsi="仿宋_GB2312" w:cs="仿宋_GB2312" w:eastAsia="仿宋_GB2312"/>
                <w:sz w:val="24"/>
                <w:color w:val="000000"/>
              </w:rPr>
              <w:t>□签订合同完毕，</w:t>
            </w:r>
            <w:r>
              <w:rPr>
                <w:rFonts w:ascii="仿宋_GB2312" w:hAnsi="仿宋_GB2312" w:cs="仿宋_GB2312" w:eastAsia="仿宋_GB2312"/>
                <w:sz w:val="24"/>
                <w:color w:val="000000"/>
              </w:rPr>
              <w:t>成交</w:t>
            </w:r>
            <w:r>
              <w:rPr>
                <w:rFonts w:ascii="仿宋_GB2312" w:hAnsi="仿宋_GB2312" w:cs="仿宋_GB2312" w:eastAsia="仿宋_GB2312"/>
                <w:sz w:val="24"/>
                <w:color w:val="000000"/>
              </w:rPr>
              <w:t>供应商无法提供预付款保函，施工满一个月，且经核算完成</w:t>
            </w:r>
            <w:r>
              <w:rPr>
                <w:rFonts w:ascii="仿宋_GB2312" w:hAnsi="仿宋_GB2312" w:cs="仿宋_GB2312" w:eastAsia="仿宋_GB2312"/>
                <w:sz w:val="24"/>
                <w:color w:val="000000"/>
              </w:rPr>
              <w:t>80%改造工程内容后，支付合同额60%进度款。</w:t>
            </w:r>
          </w:p>
          <w:p>
            <w:pPr>
              <w:pStyle w:val="null3"/>
              <w:ind w:firstLine="480"/>
              <w:jc w:val="both"/>
            </w:pPr>
            <w:r>
              <w:rPr>
                <w:rFonts w:ascii="仿宋_GB2312" w:hAnsi="仿宋_GB2312" w:cs="仿宋_GB2312" w:eastAsia="仿宋_GB2312"/>
                <w:sz w:val="24"/>
                <w:color w:val="000000"/>
              </w:rPr>
              <w:t>工程竣工验收合格后经审计部门或其委托有工程造价咨询资质的机构审定结算后，缴纳施工水电费后，支付至审定结算价的</w:t>
            </w:r>
            <w:r>
              <w:rPr>
                <w:rFonts w:ascii="仿宋_GB2312" w:hAnsi="仿宋_GB2312" w:cs="仿宋_GB2312" w:eastAsia="仿宋_GB2312"/>
                <w:sz w:val="24"/>
                <w:color w:val="000000"/>
              </w:rPr>
              <w:t>100%；但在国家规定的保修期限内，保修责任仍由</w:t>
            </w:r>
            <w:r>
              <w:rPr>
                <w:rFonts w:ascii="仿宋_GB2312" w:hAnsi="仿宋_GB2312" w:cs="仿宋_GB2312" w:eastAsia="仿宋_GB2312"/>
                <w:sz w:val="24"/>
                <w:color w:val="000000"/>
              </w:rPr>
              <w:t>成交供应商</w:t>
            </w:r>
            <w:r>
              <w:rPr>
                <w:rFonts w:ascii="仿宋_GB2312" w:hAnsi="仿宋_GB2312" w:cs="仿宋_GB2312" w:eastAsia="仿宋_GB2312"/>
                <w:sz w:val="24"/>
                <w:color w:val="000000"/>
              </w:rPr>
              <w:t>继续承担。</w:t>
            </w:r>
          </w:p>
          <w:p>
            <w:pPr>
              <w:pStyle w:val="null3"/>
              <w:ind w:firstLine="480"/>
              <w:jc w:val="both"/>
            </w:pPr>
            <w:r>
              <w:rPr>
                <w:rFonts w:ascii="仿宋_GB2312" w:hAnsi="仿宋_GB2312" w:cs="仿宋_GB2312" w:eastAsia="仿宋_GB2312"/>
                <w:sz w:val="24"/>
                <w:color w:val="000000"/>
              </w:rPr>
              <w:t>本工程的工程量据实结算，若</w:t>
            </w:r>
            <w:r>
              <w:rPr>
                <w:rFonts w:ascii="仿宋_GB2312" w:hAnsi="仿宋_GB2312" w:cs="仿宋_GB2312" w:eastAsia="仿宋_GB2312"/>
                <w:sz w:val="24"/>
                <w:color w:val="000000"/>
              </w:rPr>
              <w:t>成交供应商</w:t>
            </w:r>
            <w:r>
              <w:rPr>
                <w:rFonts w:ascii="仿宋_GB2312" w:hAnsi="仿宋_GB2312" w:cs="仿宋_GB2312" w:eastAsia="仿宋_GB2312"/>
                <w:sz w:val="24"/>
                <w:color w:val="000000"/>
              </w:rPr>
              <w:t>报送的原始结算价超出</w:t>
            </w:r>
            <w:r>
              <w:rPr>
                <w:rFonts w:ascii="仿宋_GB2312" w:hAnsi="仿宋_GB2312" w:cs="仿宋_GB2312" w:eastAsia="仿宋_GB2312"/>
                <w:sz w:val="24"/>
                <w:color w:val="000000"/>
              </w:rPr>
              <w:t>采购人</w:t>
            </w:r>
            <w:r>
              <w:rPr>
                <w:rFonts w:ascii="仿宋_GB2312" w:hAnsi="仿宋_GB2312" w:cs="仿宋_GB2312" w:eastAsia="仿宋_GB2312"/>
                <w:sz w:val="24"/>
                <w:color w:val="000000"/>
              </w:rPr>
              <w:t>审定结算价的</w:t>
            </w:r>
            <w:r>
              <w:rPr>
                <w:rFonts w:ascii="仿宋_GB2312" w:hAnsi="仿宋_GB2312" w:cs="仿宋_GB2312" w:eastAsia="仿宋_GB2312"/>
                <w:sz w:val="24"/>
                <w:color w:val="000000"/>
              </w:rPr>
              <w:t>3％，则</w:t>
            </w:r>
            <w:r>
              <w:rPr>
                <w:rFonts w:ascii="仿宋_GB2312" w:hAnsi="仿宋_GB2312" w:cs="仿宋_GB2312" w:eastAsia="仿宋_GB2312"/>
                <w:sz w:val="24"/>
                <w:color w:val="000000"/>
              </w:rPr>
              <w:t>成交供应商</w:t>
            </w:r>
            <w:r>
              <w:rPr>
                <w:rFonts w:ascii="仿宋_GB2312" w:hAnsi="仿宋_GB2312" w:cs="仿宋_GB2312" w:eastAsia="仿宋_GB2312"/>
                <w:sz w:val="24"/>
                <w:color w:val="000000"/>
              </w:rPr>
              <w:t>承担全部审计费，在结算付款时一次性扣除。</w:t>
            </w:r>
          </w:p>
          <w:p>
            <w:pPr>
              <w:pStyle w:val="null3"/>
              <w:ind w:firstLine="482"/>
              <w:jc w:val="both"/>
            </w:pPr>
            <w:r>
              <w:rPr>
                <w:rFonts w:ascii="仿宋_GB2312" w:hAnsi="仿宋_GB2312" w:cs="仿宋_GB2312" w:eastAsia="仿宋_GB2312"/>
                <w:sz w:val="24"/>
                <w:b/>
                <w:color w:val="000000"/>
              </w:rPr>
              <w:t>（五）质量保证期</w:t>
            </w:r>
            <w:r>
              <w:rPr>
                <w:rFonts w:ascii="仿宋_GB2312" w:hAnsi="仿宋_GB2312" w:cs="仿宋_GB2312" w:eastAsia="仿宋_GB2312"/>
                <w:sz w:val="24"/>
                <w:b/>
                <w:color w:val="000000"/>
              </w:rPr>
              <w:t>及保修要求</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质量保证期</w:t>
            </w:r>
            <w:r>
              <w:rPr>
                <w:rFonts w:ascii="仿宋_GB2312" w:hAnsi="仿宋_GB2312" w:cs="仿宋_GB2312" w:eastAsia="仿宋_GB2312"/>
                <w:sz w:val="24"/>
                <w:color w:val="000000"/>
              </w:rPr>
              <w:t>：</w:t>
            </w:r>
            <w:r>
              <w:rPr>
                <w:rFonts w:ascii="仿宋_GB2312" w:hAnsi="仿宋_GB2312" w:cs="仿宋_GB2312" w:eastAsia="仿宋_GB2312"/>
                <w:sz w:val="24"/>
                <w:color w:val="000000"/>
              </w:rPr>
              <w:t>本项目竣工验收合格通过之日起</w:t>
            </w:r>
            <w:r>
              <w:rPr>
                <w:rFonts w:ascii="仿宋_GB2312" w:hAnsi="仿宋_GB2312" w:cs="仿宋_GB2312" w:eastAsia="仿宋_GB2312"/>
                <w:sz w:val="24"/>
                <w:color w:val="000000"/>
              </w:rPr>
              <w:t>2年</w:t>
            </w:r>
            <w:r>
              <w:rPr>
                <w:rFonts w:ascii="仿宋_GB2312" w:hAnsi="仿宋_GB2312" w:cs="仿宋_GB2312" w:eastAsia="仿宋_GB2312"/>
                <w:sz w:val="24"/>
                <w:color w:val="000000"/>
              </w:rPr>
              <w:t>，</w:t>
            </w:r>
            <w:r>
              <w:rPr>
                <w:rFonts w:ascii="仿宋_GB2312" w:hAnsi="仿宋_GB2312" w:cs="仿宋_GB2312" w:eastAsia="仿宋_GB2312"/>
                <w:sz w:val="24"/>
                <w:color w:val="000000"/>
              </w:rPr>
              <w:t>其中防水</w:t>
            </w:r>
            <w:r>
              <w:rPr>
                <w:rFonts w:ascii="仿宋_GB2312" w:hAnsi="仿宋_GB2312" w:cs="仿宋_GB2312" w:eastAsia="仿宋_GB2312"/>
                <w:sz w:val="24"/>
                <w:color w:val="000000"/>
              </w:rPr>
              <w:t>5年</w:t>
            </w:r>
            <w:r>
              <w:rPr>
                <w:rFonts w:ascii="仿宋_GB2312" w:hAnsi="仿宋_GB2312" w:cs="仿宋_GB2312" w:eastAsia="仿宋_GB2312"/>
                <w:sz w:val="24"/>
                <w:color w:val="000000"/>
              </w:rPr>
              <w:t>。</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）保修要求：属于保修范围和内容的项目，成交供应商应在接到维修通知后，</w:t>
            </w:r>
            <w:r>
              <w:rPr>
                <w:rFonts w:ascii="仿宋_GB2312" w:hAnsi="仿宋_GB2312" w:cs="仿宋_GB2312" w:eastAsia="仿宋_GB2312"/>
                <w:sz w:val="24"/>
                <w:color w:val="000000"/>
              </w:rPr>
              <w:t>1天内派人维修。</w:t>
            </w:r>
            <w:r>
              <w:rPr>
                <w:rFonts w:ascii="仿宋_GB2312" w:hAnsi="仿宋_GB2312" w:cs="仿宋_GB2312" w:eastAsia="仿宋_GB2312"/>
                <w:sz w:val="24"/>
                <w:color w:val="000000"/>
              </w:rPr>
              <w:t>发生紧急抢修事故（如上水管跑水、爆裂，供电设施漏、断电等），成交供应商应在接到事故通知后</w:t>
            </w:r>
            <w:r>
              <w:rPr>
                <w:rFonts w:ascii="仿宋_GB2312" w:hAnsi="仿宋_GB2312" w:cs="仿宋_GB2312" w:eastAsia="仿宋_GB2312"/>
                <w:sz w:val="24"/>
                <w:color w:val="000000"/>
              </w:rPr>
              <w:t>2小时内到达事故现场并于</w:t>
            </w:r>
            <w:r>
              <w:rPr>
                <w:rFonts w:ascii="仿宋_GB2312" w:hAnsi="仿宋_GB2312" w:cs="仿宋_GB2312" w:eastAsia="仿宋_GB2312"/>
                <w:sz w:val="24"/>
                <w:color w:val="000000"/>
              </w:rPr>
              <w:t>4</w:t>
            </w:r>
            <w:r>
              <w:rPr>
                <w:rFonts w:ascii="仿宋_GB2312" w:hAnsi="仿宋_GB2312" w:cs="仿宋_GB2312" w:eastAsia="仿宋_GB2312"/>
                <w:sz w:val="24"/>
                <w:color w:val="000000"/>
              </w:rPr>
              <w:t>小时内完成应急维修。</w:t>
            </w:r>
          </w:p>
          <w:p>
            <w:pPr>
              <w:pStyle w:val="null3"/>
              <w:spacing w:before="105" w:after="105"/>
              <w:jc w:val="both"/>
            </w:pPr>
          </w:p>
        </w:tc>
      </w:tr>
    </w:tbl>
    <w:p>
      <w:pPr>
        <w:pStyle w:val="null3"/>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质量标准执行国家、陕西省、西安市现行工程质量验收标准，施工结束后提供具有CMA/CNAS资格的第三方检测机构空气质量检测报告。</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供应商应按照磋商文件中规定的时间及地点前往项目地点踏勘，以充分了解工地位置、情况、道路、储存空间、装卸限制及任何其他足以影响响应报价的情况，供应商因忽视或误解工地情况而导致的其提出的任何索赔或工期延长申请将不被批准。凡因供应商对竞争性磋商文件阅读疏忽或误解，或因对施工现场、施工环境、市场行情等了解不清而造成的后果和风险，由供应商自行负责。在施工期间，供应商自行协调施工现场周边社会关系，不得以协调不力而影响工程进度，所发生的一切费用应在报价时加以考虑。 2.磋商报价时各供应商应根据文件说明、做法、施工组织设计、施工验收规范、现场条件、工程特点等内容编制磋商报价。 3.所有材料必须使用合格产品，竞争性磋商文件如对材料的材质、品牌等有明确要求的，不得变更相关要求，使用前应当由采购人认质确认后方可投入使用。工程施工完毕后需对施工场地进行保洁，保洁标准达到采购人要求。 4.本项目工程量清单是按照本工程施工图纸，依据《陕西省建设工程费用规则》、2025版《陕西省建设工程工程量清单计价标准》、2025版《陕西省房屋建筑与装饰工程工程量计算标准》、2025版《陕西省通用安装工程工程量计算标准》、2025版《陕西省市政工程工程量计算标准》、2025版《陕西省园林绿化工程工程量计算标准》等现行陕西省工程建设标准的规定项目编码、项目名称、计量单位和工程量计算规则进行编制的，请各供应商根据提供的施工图纸认真核对，并确认无误;供应商中标后，若出现磋商文件中工程量清单描述与图纸不符等问题时，此部分工程量清单项的综合单价不予调整。</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1.响应保证金须从供应商户名支付，如从个人户名或非供应商户名支付， 将被拒绝，视为自动放弃投标权利（该个人是供应商的情形除外）；响应保证金缴纳时间：开标时间之前；以保函形式交纳响应保证金的，供应商应在投标截止时间前将保函上传至政府采购电子化交易平台，同时将保函扫描成清晰的PDF文件，发送至邮箱2973608682@qq.com（邮件命名：项目名称+项目编号）；供应商应在响应文件中附保函复印件。保函必须由具有开具投标保函资格的单位开具；若供应商违约，开具保函单位承担连带责任； 2.响应保证金的提交金额、时间不满足磋商文件要求的，投标无效； 3.本项目成交供应商须在领取中标（成交）通知书同一时间向采购代理机构提供响应文件（应与政府采购电子化交易平台上传的响应文件完全一致）正本1份、副本1份。 4.结算时，依据采购人审定的工程量，按实际发生量据实结算，工程价款结算时依据最终价款和一次报价分别扣除暂列金后的下浮比例执行。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供应商为向采购人提供工程及相应服务的法人或其他组织；</w:t>
            </w:r>
          </w:p>
        </w:tc>
        <w:tc>
          <w:tcPr>
            <w:tcW w:type="dxa" w:w="1661"/>
          </w:tcPr>
          <w:p>
            <w:pPr>
              <w:pStyle w:val="null3"/>
            </w:pPr>
            <w:r>
              <w:rPr>
                <w:rFonts w:ascii="仿宋_GB2312" w:hAnsi="仿宋_GB2312" w:cs="仿宋_GB2312" w:eastAsia="仿宋_GB2312"/>
              </w:rPr>
              <w:t>供应商应提交的资格审查资料.docx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自2025年5月至今已缴纳的至少一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供应商应提交的资格审查资料.docx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供应商提供自2025年5月至今已缴纳的至少一个月纳税证明或完税证明，依法免税的单位应提供相关证明材料；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供应商应提交的资格审查资料.docx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供应商提供2024或2025年度经审计的完整财务审计报告或在开标日期前六个月内其基本开户银行出具的资信证明；</w:t>
            </w:r>
          </w:p>
        </w:tc>
        <w:tc>
          <w:tcPr>
            <w:tcW w:type="dxa" w:w="1661"/>
          </w:tcPr>
          <w:p>
            <w:pPr>
              <w:pStyle w:val="null3"/>
            </w:pPr>
            <w:r>
              <w:rPr>
                <w:rFonts w:ascii="仿宋_GB2312" w:hAnsi="仿宋_GB2312" w:cs="仿宋_GB2312" w:eastAsia="仿宋_GB2312"/>
              </w:rPr>
              <w:t>供应商应提交的资格审查资料.docx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须具备建设行政主管部门颁发合法有效的建筑工程施工总承包三级(含)以上或建筑装修装饰工程专业承包二级(含)以上资质，并具备有效的安全生产许可证，且在人员、设备、资金等方面具备相应施工能力；</w:t>
            </w:r>
          </w:p>
        </w:tc>
        <w:tc>
          <w:tcPr>
            <w:tcW w:type="dxa" w:w="1661"/>
          </w:tcPr>
          <w:p>
            <w:pPr>
              <w:pStyle w:val="null3"/>
            </w:pPr>
            <w:r>
              <w:rPr>
                <w:rFonts w:ascii="仿宋_GB2312" w:hAnsi="仿宋_GB2312" w:cs="仿宋_GB2312" w:eastAsia="仿宋_GB2312"/>
              </w:rPr>
              <w:t>供应商应提交的资格审查资料.docx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供应商拟派项目经理资质和专业要求</w:t>
            </w:r>
          </w:p>
        </w:tc>
        <w:tc>
          <w:tcPr>
            <w:tcW w:type="dxa" w:w="3322"/>
          </w:tcPr>
          <w:p>
            <w:pPr>
              <w:pStyle w:val="null3"/>
            </w:pPr>
            <w:r>
              <w:rPr>
                <w:rFonts w:ascii="仿宋_GB2312" w:hAnsi="仿宋_GB2312" w:cs="仿宋_GB2312" w:eastAsia="仿宋_GB2312"/>
              </w:rPr>
              <w:t>供应商拟派项目经理具备合法有效的建筑工程专业注册建造师二级（含）以上执业资格及安全生产考核合格证书（安全B证），在本单位注册且无在建工程；</w:t>
            </w:r>
          </w:p>
        </w:tc>
        <w:tc>
          <w:tcPr>
            <w:tcW w:type="dxa" w:w="1661"/>
          </w:tcPr>
          <w:p>
            <w:pPr>
              <w:pStyle w:val="null3"/>
            </w:pPr>
            <w:r>
              <w:rPr>
                <w:rFonts w:ascii="仿宋_GB2312" w:hAnsi="仿宋_GB2312" w:cs="仿宋_GB2312" w:eastAsia="仿宋_GB2312"/>
              </w:rPr>
              <w:t>供应商应提交的资格审查资料.docx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 同时拟派项目经理未被列入“信用中国”网站的“重点领域严重失信主体名单”中的“安全生产严重失信主体名单（自然人）”；未被“中国执行信息公开网”列入失信被执行人。</w:t>
            </w:r>
          </w:p>
        </w:tc>
        <w:tc>
          <w:tcPr>
            <w:tcW w:type="dxa" w:w="1661"/>
          </w:tcPr>
          <w:p>
            <w:pPr>
              <w:pStyle w:val="null3"/>
            </w:pPr>
            <w:r>
              <w:rPr>
                <w:rFonts w:ascii="仿宋_GB2312" w:hAnsi="仿宋_GB2312" w:cs="仿宋_GB2312" w:eastAsia="仿宋_GB2312"/>
              </w:rPr>
              <w:t>供应商应提交的资格审查资料.docx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供应商及其拟派项目经理须在“陕西省住房和城乡建设厅”官方网站可查询；如供应商为外省进陕企业，还须同时提供“陕西省住房和城乡建设厅”官网企业库外省进陕施工企业信息首页截图；</w:t>
            </w:r>
          </w:p>
        </w:tc>
        <w:tc>
          <w:tcPr>
            <w:tcW w:type="dxa" w:w="1661"/>
          </w:tcPr>
          <w:p>
            <w:pPr>
              <w:pStyle w:val="null3"/>
            </w:pPr>
            <w:r>
              <w:rPr>
                <w:rFonts w:ascii="仿宋_GB2312" w:hAnsi="仿宋_GB2312" w:cs="仿宋_GB2312" w:eastAsia="仿宋_GB2312"/>
              </w:rPr>
              <w:t>供应商应提交的资格审查资料.docx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 具体内容及要求以“第六章 磋商办法 6.4.2评分标准”为准。</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供应商名称是否与营业执照、资质证书、安全生产许可证一致</w:t>
            </w:r>
          </w:p>
        </w:tc>
        <w:tc>
          <w:tcPr>
            <w:tcW w:type="dxa" w:w="3322"/>
          </w:tcPr>
          <w:p>
            <w:pPr>
              <w:pStyle w:val="null3"/>
            </w:pPr>
            <w:r>
              <w:rPr>
                <w:rFonts w:ascii="仿宋_GB2312" w:hAnsi="仿宋_GB2312" w:cs="仿宋_GB2312" w:eastAsia="仿宋_GB2312"/>
              </w:rPr>
              <w:t>供应商名称应与营业执照、资质证书、安全生产许可证一致；</w:t>
            </w:r>
          </w:p>
        </w:tc>
        <w:tc>
          <w:tcPr>
            <w:tcW w:type="dxa" w:w="1661"/>
          </w:tcPr>
          <w:p>
            <w:pPr>
              <w:pStyle w:val="null3"/>
            </w:pPr>
            <w:r>
              <w:rPr>
                <w:rFonts w:ascii="仿宋_GB2312" w:hAnsi="仿宋_GB2312" w:cs="仿宋_GB2312" w:eastAsia="仿宋_GB2312"/>
              </w:rPr>
              <w:t>供应商应提交的资格审查资料.docx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响应函是否按磋商文件要求签署、盖章的</w:t>
            </w:r>
          </w:p>
        </w:tc>
        <w:tc>
          <w:tcPr>
            <w:tcW w:type="dxa" w:w="3322"/>
          </w:tcPr>
          <w:p>
            <w:pPr>
              <w:pStyle w:val="null3"/>
            </w:pPr>
            <w:r>
              <w:rPr>
                <w:rFonts w:ascii="仿宋_GB2312" w:hAnsi="仿宋_GB2312" w:cs="仿宋_GB2312" w:eastAsia="仿宋_GB2312"/>
              </w:rPr>
              <w:t>响应函应需在项目电子化交易系统中按要求填写《响应函》、《报价函》完成承诺并进行电子 签章；</w:t>
            </w:r>
          </w:p>
        </w:tc>
        <w:tc>
          <w:tcPr>
            <w:tcW w:type="dxa" w:w="1661"/>
          </w:tcPr>
          <w:p>
            <w:pPr>
              <w:pStyle w:val="null3"/>
            </w:pPr>
            <w:r>
              <w:rPr>
                <w:rFonts w:ascii="仿宋_GB2312" w:hAnsi="仿宋_GB2312" w:cs="仿宋_GB2312" w:eastAsia="仿宋_GB2312"/>
              </w:rPr>
              <w:t>报价函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响应文件报价是否唯一</w:t>
            </w:r>
          </w:p>
        </w:tc>
        <w:tc>
          <w:tcPr>
            <w:tcW w:type="dxa" w:w="3322"/>
          </w:tcPr>
          <w:p>
            <w:pPr>
              <w:pStyle w:val="null3"/>
            </w:pPr>
            <w:r>
              <w:rPr>
                <w:rFonts w:ascii="仿宋_GB2312" w:hAnsi="仿宋_GB2312" w:cs="仿宋_GB2312" w:eastAsia="仿宋_GB2312"/>
              </w:rPr>
              <w:t>每次报价只能有一个有效报价，且未超出采购预算及采购最高限价；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工期、质量要求</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报价函 技术服务合同条款及其他商务要求应答表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供应商拟投主要材料是否满足本项目列明的主要材料技术参数中标记“★”条款</w:t>
            </w:r>
          </w:p>
        </w:tc>
        <w:tc>
          <w:tcPr>
            <w:tcW w:type="dxa" w:w="3322"/>
          </w:tcPr>
          <w:p>
            <w:pPr>
              <w:pStyle w:val="null3"/>
            </w:pPr>
            <w:r>
              <w:rPr>
                <w:rFonts w:ascii="仿宋_GB2312" w:hAnsi="仿宋_GB2312" w:cs="仿宋_GB2312" w:eastAsia="仿宋_GB2312"/>
              </w:rPr>
              <w:t>供应商拟投主要材料满足本项目列明的主要材料技术参数中标记“★”条款</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响应文件是否存在无效磋商的情形及未实质性响应磋商文件的情况</w:t>
            </w:r>
          </w:p>
        </w:tc>
        <w:tc>
          <w:tcPr>
            <w:tcW w:type="dxa" w:w="3322"/>
          </w:tcPr>
          <w:p>
            <w:pPr>
              <w:pStyle w:val="null3"/>
            </w:pPr>
            <w:r>
              <w:rPr>
                <w:rFonts w:ascii="仿宋_GB2312" w:hAnsi="仿宋_GB2312" w:cs="仿宋_GB2312" w:eastAsia="仿宋_GB2312"/>
              </w:rPr>
              <w:t>响应文件未存在法律法规或磋商文件明确规定的其他被视为“无效磋商”的情形及未实质性响应磋商文件的情况。</w:t>
            </w:r>
          </w:p>
        </w:tc>
        <w:tc>
          <w:tcPr>
            <w:tcW w:type="dxa" w:w="1661"/>
          </w:tcPr>
          <w:p>
            <w:pPr>
              <w:pStyle w:val="null3"/>
            </w:pPr>
            <w:r>
              <w:rPr>
                <w:rFonts w:ascii="仿宋_GB2312" w:hAnsi="仿宋_GB2312" w:cs="仿宋_GB2312" w:eastAsia="仿宋_GB2312"/>
              </w:rPr>
              <w:t>拟派项目经理及项目组人员承诺函.docx 已标价工程量清单 质量管理体系与保证措施.docx 供应商应提交的资格审查资料.docx 确保安全生产、文明施工的技术组织措施及环境保护措施.docx 节能环保、绿色建材.docx 中小企业声明函 对项目整体理解及施工方案.docx 企业业绩.docx 服务承诺.docx 技术服务合同条款及其他商务要求应答表 主要材料品质、价格表.docx 工程进度计划与保证措施.docx 响应文件封面 残疾人福利性单位声明函 法定代表人证明书及授权书.docx 报价函 标的清单 响应函 项目人员组成.docx 拟派项目经理社保缴纳证明.docx 拟派项目经理业绩.docx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已标价工程量清单扉页是否(仅指投标总价扉页)加盖有注册或登记的造价人员签字并盖执业印章</w:t>
            </w:r>
          </w:p>
        </w:tc>
        <w:tc>
          <w:tcPr>
            <w:tcW w:type="dxa" w:w="3322"/>
          </w:tcPr>
          <w:p>
            <w:pPr>
              <w:pStyle w:val="null3"/>
            </w:pPr>
            <w:r>
              <w:rPr>
                <w:rFonts w:ascii="仿宋_GB2312" w:hAnsi="仿宋_GB2312" w:cs="仿宋_GB2312" w:eastAsia="仿宋_GB2312"/>
              </w:rPr>
              <w:t>已标价工程量清单扉页(仅指投标总价扉页)已加盖有注册或登记在本单位的造价人员签字并盖执业印章；</w:t>
            </w:r>
          </w:p>
        </w:tc>
        <w:tc>
          <w:tcPr>
            <w:tcW w:type="dxa" w:w="1661"/>
          </w:tcPr>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是否提供拟派项目经理及项目组成员在项目结束前不可更换的承诺函</w:t>
            </w:r>
          </w:p>
        </w:tc>
        <w:tc>
          <w:tcPr>
            <w:tcW w:type="dxa" w:w="3322"/>
          </w:tcPr>
          <w:p>
            <w:pPr>
              <w:pStyle w:val="null3"/>
            </w:pPr>
            <w:r>
              <w:rPr>
                <w:rFonts w:ascii="仿宋_GB2312" w:hAnsi="仿宋_GB2312" w:cs="仿宋_GB2312" w:eastAsia="仿宋_GB2312"/>
              </w:rPr>
              <w:t>已提供拟派项目经理及项目组成员在项目结束前不可更换的承诺函；</w:t>
            </w:r>
          </w:p>
        </w:tc>
        <w:tc>
          <w:tcPr>
            <w:tcW w:type="dxa" w:w="1661"/>
          </w:tcPr>
          <w:p>
            <w:pPr>
              <w:pStyle w:val="null3"/>
            </w:pPr>
            <w:r>
              <w:rPr>
                <w:rFonts w:ascii="仿宋_GB2312" w:hAnsi="仿宋_GB2312" w:cs="仿宋_GB2312" w:eastAsia="仿宋_GB2312"/>
              </w:rPr>
              <w:t>拟派项目经理及项目组人员承诺函.docx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是否提供拟派项目经理在供应商本单位近6个月内社保缴纳证明</w:t>
            </w:r>
          </w:p>
        </w:tc>
        <w:tc>
          <w:tcPr>
            <w:tcW w:type="dxa" w:w="3322"/>
          </w:tcPr>
          <w:p>
            <w:pPr>
              <w:pStyle w:val="null3"/>
            </w:pPr>
            <w:r>
              <w:rPr>
                <w:rFonts w:ascii="仿宋_GB2312" w:hAnsi="仿宋_GB2312" w:cs="仿宋_GB2312" w:eastAsia="仿宋_GB2312"/>
              </w:rPr>
              <w:t>已提供拟派项目经理在供应商本单位近6个月内社保缴纳证明；</w:t>
            </w:r>
          </w:p>
        </w:tc>
        <w:tc>
          <w:tcPr>
            <w:tcW w:type="dxa" w:w="1661"/>
          </w:tcPr>
          <w:p>
            <w:pPr>
              <w:pStyle w:val="null3"/>
            </w:pPr>
            <w:r>
              <w:rPr>
                <w:rFonts w:ascii="仿宋_GB2312" w:hAnsi="仿宋_GB2312" w:cs="仿宋_GB2312" w:eastAsia="仿宋_GB2312"/>
              </w:rPr>
              <w:t>拟派项目经理社保缴纳证明.docx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供应商应授权合法的人员参加本项目竞争性磋商活动全过程</w:t>
            </w:r>
          </w:p>
        </w:tc>
        <w:tc>
          <w:tcPr>
            <w:tcW w:type="dxa" w:w="3322"/>
          </w:tcPr>
          <w:p>
            <w:pPr>
              <w:pStyle w:val="null3"/>
            </w:pPr>
            <w:r>
              <w:rPr>
                <w:rFonts w:ascii="仿宋_GB2312" w:hAnsi="仿宋_GB2312" w:cs="仿宋_GB2312" w:eastAsia="仿宋_GB2312"/>
              </w:rPr>
              <w:t>供应商应授权合法的人员参加本项目竞争性磋商会议全过程，法定代表人参加竞争性磋商会议的，应出具法定代表人证明书以及法定代表人合法有效的身份证，且应与营业执照上信息一致。法定代表人授权合法授权代表参加竞争性磋商会议的，应出具法定代表人证明书、法定代表人授权书及授权代表合法有效的身份证,同时提供截至响应文件递交截止时间前在供应商本单位6个月内任意1个月的社保缴纳证明材料；</w:t>
            </w:r>
          </w:p>
        </w:tc>
        <w:tc>
          <w:tcPr>
            <w:tcW w:type="dxa" w:w="1661"/>
          </w:tcPr>
          <w:p>
            <w:pPr>
              <w:pStyle w:val="null3"/>
            </w:pPr>
            <w:r>
              <w:rPr>
                <w:rFonts w:ascii="仿宋_GB2312" w:hAnsi="仿宋_GB2312" w:cs="仿宋_GB2312" w:eastAsia="仿宋_GB2312"/>
              </w:rPr>
              <w:t>法定代表人证明书及授权书.docx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详细评审45.00分</w:t>
            </w:r>
          </w:p>
          <w:p>
            <w:pPr>
              <w:pStyle w:val="null3"/>
            </w:pPr>
            <w:r>
              <w:rPr>
                <w:rFonts w:ascii="仿宋_GB2312" w:hAnsi="仿宋_GB2312" w:cs="仿宋_GB2312" w:eastAsia="仿宋_GB2312"/>
              </w:rPr>
              <w:t>报价得分55.00分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对项目整体理解及施工方案1</w:t>
            </w:r>
          </w:p>
        </w:tc>
        <w:tc>
          <w:tcPr>
            <w:tcW w:type="dxa" w:w="2492"/>
          </w:tcPr>
          <w:p>
            <w:pPr>
              <w:pStyle w:val="null3"/>
            </w:pPr>
            <w:r>
              <w:rPr>
                <w:rFonts w:ascii="仿宋_GB2312" w:hAnsi="仿宋_GB2312" w:cs="仿宋_GB2312" w:eastAsia="仿宋_GB2312"/>
              </w:rPr>
              <w:t>1.根据供应商针对本项目实施的现场情况、难易程度、历史资料匹配、成品保护等重点、难点进行分析进行评审： 内容完备、科学、合理、针对性强得1.5分； 内容较为完备，针对性较强的得1分； 内容较为简略、基本可行的得0.5分； 内容缺失严重、不合理和未提供的均不计分。</w:t>
            </w:r>
          </w:p>
        </w:tc>
        <w:tc>
          <w:tcPr>
            <w:tcW w:type="dxa" w:w="831"/>
          </w:tcPr>
          <w:p>
            <w:pPr>
              <w:pStyle w:val="null3"/>
              <w:jc w:val="right"/>
            </w:pPr>
            <w:r>
              <w:rPr>
                <w:rFonts w:ascii="仿宋_GB2312" w:hAnsi="仿宋_GB2312" w:cs="仿宋_GB2312" w:eastAsia="仿宋_GB2312"/>
              </w:rPr>
              <w:t>1.5000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对项目整体理解及施工方案.docx</w:t>
            </w:r>
          </w:p>
        </w:tc>
      </w:tr>
      <w:tr>
        <w:tc>
          <w:tcPr>
            <w:tcW w:type="dxa" w:w="831"/>
            <w:vMerge/>
          </w:tcPr>
          <w:p/>
        </w:tc>
        <w:tc>
          <w:tcPr>
            <w:tcW w:type="dxa" w:w="1661"/>
          </w:tcPr>
          <w:p>
            <w:pPr>
              <w:pStyle w:val="null3"/>
            </w:pPr>
            <w:r>
              <w:rPr>
                <w:rFonts w:ascii="仿宋_GB2312" w:hAnsi="仿宋_GB2312" w:cs="仿宋_GB2312" w:eastAsia="仿宋_GB2312"/>
              </w:rPr>
              <w:t>对项目整体理解及施工方案2</w:t>
            </w:r>
          </w:p>
        </w:tc>
        <w:tc>
          <w:tcPr>
            <w:tcW w:type="dxa" w:w="2492"/>
          </w:tcPr>
          <w:p>
            <w:pPr>
              <w:pStyle w:val="null3"/>
            </w:pPr>
            <w:r>
              <w:rPr>
                <w:rFonts w:ascii="仿宋_GB2312" w:hAnsi="仿宋_GB2312" w:cs="仿宋_GB2312" w:eastAsia="仿宋_GB2312"/>
              </w:rPr>
              <w:t>2.根据供应商针对本项目对易发生质量通病、易出现安全问题、施工难度大、技术含量高的分项工程等进行说明并给出施工保障措施和专项技术方案（含主要施工工法、组织措施、检验手段等）进行评审： 内容完备、科学、合理、针对性强得2分； 内容较为完备，针对性较强的得1.4分； 内容较为简略、基本可行的得0.7分； 内容缺失严重、不合理和未提供的均不计分。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对项目整体理解及施工方案.docx</w:t>
            </w:r>
          </w:p>
        </w:tc>
      </w:tr>
      <w:tr>
        <w:tc>
          <w:tcPr>
            <w:tcW w:type="dxa" w:w="831"/>
            <w:vMerge/>
          </w:tcPr>
          <w:p/>
        </w:tc>
        <w:tc>
          <w:tcPr>
            <w:tcW w:type="dxa" w:w="1661"/>
          </w:tcPr>
          <w:p>
            <w:pPr>
              <w:pStyle w:val="null3"/>
            </w:pPr>
            <w:r>
              <w:rPr>
                <w:rFonts w:ascii="仿宋_GB2312" w:hAnsi="仿宋_GB2312" w:cs="仿宋_GB2312" w:eastAsia="仿宋_GB2312"/>
              </w:rPr>
              <w:t>对项目整体理解及施工方案3</w:t>
            </w:r>
          </w:p>
        </w:tc>
        <w:tc>
          <w:tcPr>
            <w:tcW w:type="dxa" w:w="2492"/>
          </w:tcPr>
          <w:p>
            <w:pPr>
              <w:pStyle w:val="null3"/>
            </w:pPr>
            <w:r>
              <w:rPr>
                <w:rFonts w:ascii="仿宋_GB2312" w:hAnsi="仿宋_GB2312" w:cs="仿宋_GB2312" w:eastAsia="仿宋_GB2312"/>
              </w:rPr>
              <w:t>3.根据供应商针对影响本项目的外在因素和可能出现的问题进行分析，并制定相关应急预案或保证措施进行评审： 内容完备、科学、合理、针对性强得1.5分； 内容较为完备，针对性较强的得1分； 内容较为简略、基本可行的得0.5分； 内容缺失严重、不合理和未提供的均不计分。</w:t>
            </w:r>
          </w:p>
        </w:tc>
        <w:tc>
          <w:tcPr>
            <w:tcW w:type="dxa" w:w="831"/>
          </w:tcPr>
          <w:p>
            <w:pPr>
              <w:pStyle w:val="null3"/>
              <w:jc w:val="right"/>
            </w:pPr>
            <w:r>
              <w:rPr>
                <w:rFonts w:ascii="仿宋_GB2312" w:hAnsi="仿宋_GB2312" w:cs="仿宋_GB2312" w:eastAsia="仿宋_GB2312"/>
              </w:rPr>
              <w:t>1.5000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对项目整体理解及施工方案.docx</w:t>
            </w:r>
          </w:p>
        </w:tc>
      </w:tr>
      <w:tr>
        <w:tc>
          <w:tcPr>
            <w:tcW w:type="dxa" w:w="831"/>
            <w:vMerge/>
          </w:tcPr>
          <w:p/>
        </w:tc>
        <w:tc>
          <w:tcPr>
            <w:tcW w:type="dxa" w:w="1661"/>
          </w:tcPr>
          <w:p>
            <w:pPr>
              <w:pStyle w:val="null3"/>
            </w:pPr>
            <w:r>
              <w:rPr>
                <w:rFonts w:ascii="仿宋_GB2312" w:hAnsi="仿宋_GB2312" w:cs="仿宋_GB2312" w:eastAsia="仿宋_GB2312"/>
              </w:rPr>
              <w:t>工程进度计划与保证措施1</w:t>
            </w:r>
          </w:p>
        </w:tc>
        <w:tc>
          <w:tcPr>
            <w:tcW w:type="dxa" w:w="2492"/>
          </w:tcPr>
          <w:p>
            <w:pPr>
              <w:pStyle w:val="null3"/>
            </w:pPr>
            <w:r>
              <w:rPr>
                <w:rFonts w:ascii="仿宋_GB2312" w:hAnsi="仿宋_GB2312" w:cs="仿宋_GB2312" w:eastAsia="仿宋_GB2312"/>
              </w:rPr>
              <w:t>1.根据供应商针对本项目工期紧、质量高的特点，制定切实可行的施工进度计划（网络图/横道图）和工期保证措施，施工顺序具体说明及施工流水段划分；工期控制要点及分级控制措施；进度监管手段、人材机组织保证进行评审： 内容完备、科学、合理、针对性强得3分； 内容较为完备，针对性较强的得2分； 内容较为简略、基本可行的得1分； 内容缺失严重、不合理和未提供的均不计分。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工程进度计划与保证措施.docx</w:t>
            </w:r>
          </w:p>
        </w:tc>
      </w:tr>
      <w:tr>
        <w:tc>
          <w:tcPr>
            <w:tcW w:type="dxa" w:w="831"/>
            <w:vMerge/>
          </w:tcPr>
          <w:p/>
        </w:tc>
        <w:tc>
          <w:tcPr>
            <w:tcW w:type="dxa" w:w="1661"/>
          </w:tcPr>
          <w:p>
            <w:pPr>
              <w:pStyle w:val="null3"/>
            </w:pPr>
            <w:r>
              <w:rPr>
                <w:rFonts w:ascii="仿宋_GB2312" w:hAnsi="仿宋_GB2312" w:cs="仿宋_GB2312" w:eastAsia="仿宋_GB2312"/>
              </w:rPr>
              <w:t>工程进度计划与保证措施2</w:t>
            </w:r>
          </w:p>
        </w:tc>
        <w:tc>
          <w:tcPr>
            <w:tcW w:type="dxa" w:w="2492"/>
          </w:tcPr>
          <w:p>
            <w:pPr>
              <w:pStyle w:val="null3"/>
            </w:pPr>
            <w:r>
              <w:rPr>
                <w:rFonts w:ascii="仿宋_GB2312" w:hAnsi="仿宋_GB2312" w:cs="仿宋_GB2312" w:eastAsia="仿宋_GB2312"/>
              </w:rPr>
              <w:t>2.针对本项目工期紧、质量高的特点，制定切实可行的现场调度及总包分包协调方案；赶工方案及奖惩措施；劳动力配置计划和生产效率及生活保障措施；检测及机具设备计划、材料准备计划及相关保证措施进行评审： 内容完备、科学、合理、针对性强得3分； 内容较为完备，针对性较强的得2分； 内容较为简略、基本可行的得1分； 内容缺失严重、不合理和未提供的均不计分。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工程进度计划与保证措施.docx</w:t>
            </w:r>
          </w:p>
        </w:tc>
      </w:tr>
      <w:tr>
        <w:tc>
          <w:tcPr>
            <w:tcW w:type="dxa" w:w="831"/>
            <w:vMerge/>
          </w:tcPr>
          <w:p/>
        </w:tc>
        <w:tc>
          <w:tcPr>
            <w:tcW w:type="dxa" w:w="1661"/>
          </w:tcPr>
          <w:p>
            <w:pPr>
              <w:pStyle w:val="null3"/>
            </w:pPr>
            <w:r>
              <w:rPr>
                <w:rFonts w:ascii="仿宋_GB2312" w:hAnsi="仿宋_GB2312" w:cs="仿宋_GB2312" w:eastAsia="仿宋_GB2312"/>
              </w:rPr>
              <w:t>质量管理体系与保证措施1</w:t>
            </w:r>
          </w:p>
        </w:tc>
        <w:tc>
          <w:tcPr>
            <w:tcW w:type="dxa" w:w="2492"/>
          </w:tcPr>
          <w:p>
            <w:pPr>
              <w:pStyle w:val="null3"/>
            </w:pPr>
            <w:r>
              <w:rPr>
                <w:rFonts w:ascii="仿宋_GB2312" w:hAnsi="仿宋_GB2312" w:cs="仿宋_GB2312" w:eastAsia="仿宋_GB2312"/>
              </w:rPr>
              <w:t>1.根据供应商针对本项目特点制定切实可行质量管理预控措施（各项质量目标及控制措施、质量检验和实验计划、事前控制、材料质量控制、施工机具控制等）进行评审： 内容完备、科学、合理、针对性强得2分； 内容较为完备，针对性较强的得1.4分； 内容较为简略、基本可行的得0.7分； 内容缺失严重、不合理和未提供的均不计分。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质量管理体系与保证措施.docx</w:t>
            </w:r>
          </w:p>
        </w:tc>
      </w:tr>
      <w:tr>
        <w:tc>
          <w:tcPr>
            <w:tcW w:type="dxa" w:w="831"/>
            <w:vMerge/>
          </w:tcPr>
          <w:p/>
        </w:tc>
        <w:tc>
          <w:tcPr>
            <w:tcW w:type="dxa" w:w="1661"/>
          </w:tcPr>
          <w:p>
            <w:pPr>
              <w:pStyle w:val="null3"/>
            </w:pPr>
            <w:r>
              <w:rPr>
                <w:rFonts w:ascii="仿宋_GB2312" w:hAnsi="仿宋_GB2312" w:cs="仿宋_GB2312" w:eastAsia="仿宋_GB2312"/>
              </w:rPr>
              <w:t>质量管理体系与保证措施2</w:t>
            </w:r>
          </w:p>
        </w:tc>
        <w:tc>
          <w:tcPr>
            <w:tcW w:type="dxa" w:w="2492"/>
          </w:tcPr>
          <w:p>
            <w:pPr>
              <w:pStyle w:val="null3"/>
            </w:pPr>
            <w:r>
              <w:rPr>
                <w:rFonts w:ascii="仿宋_GB2312" w:hAnsi="仿宋_GB2312" w:cs="仿宋_GB2312" w:eastAsia="仿宋_GB2312"/>
              </w:rPr>
              <w:t>2.根据供应商针对本项目分部分项工程质量保证措施、成品保护和工程保修管理措施进行评审： 内容完备、科学、合理、针对性强得2分； 内容较为完备，针对性较强的得1.4分； 内容较为简略、基本可行的得0.7分； 内容缺失严重、不合理和未提供的均不计分。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质量管理体系与保证措施.docx</w:t>
            </w:r>
          </w:p>
        </w:tc>
      </w:tr>
      <w:tr>
        <w:tc>
          <w:tcPr>
            <w:tcW w:type="dxa" w:w="831"/>
            <w:vMerge/>
          </w:tcPr>
          <w:p/>
        </w:tc>
        <w:tc>
          <w:tcPr>
            <w:tcW w:type="dxa" w:w="1661"/>
          </w:tcPr>
          <w:p>
            <w:pPr>
              <w:pStyle w:val="null3"/>
            </w:pPr>
            <w:r>
              <w:rPr>
                <w:rFonts w:ascii="仿宋_GB2312" w:hAnsi="仿宋_GB2312" w:cs="仿宋_GB2312" w:eastAsia="仿宋_GB2312"/>
              </w:rPr>
              <w:t>确保安全生产、文明施工的技术组织措施及环境保护措施1</w:t>
            </w:r>
          </w:p>
        </w:tc>
        <w:tc>
          <w:tcPr>
            <w:tcW w:type="dxa" w:w="2492"/>
          </w:tcPr>
          <w:p>
            <w:pPr>
              <w:pStyle w:val="null3"/>
            </w:pPr>
            <w:r>
              <w:rPr>
                <w:rFonts w:ascii="仿宋_GB2312" w:hAnsi="仿宋_GB2312" w:cs="仿宋_GB2312" w:eastAsia="仿宋_GB2312"/>
              </w:rPr>
              <w:t>1.根据供应商针对本项目特点结合工程环境、特点分析安全隐患，给出有针对性的安全生产、文明施工、环保施工、防尘降噪等保证措施进行评审： 内容完备、科学、合理、针对性强得2分； 内容较为完备，针对性较强的得1.5分； 内容较为简略、基本可行的得1分； 内容缺失严重、不合理和未提供的均不计分。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确保安全生产、文明施工的技术组织措施及环境保护措施.docx</w:t>
            </w:r>
          </w:p>
        </w:tc>
      </w:tr>
      <w:tr>
        <w:tc>
          <w:tcPr>
            <w:tcW w:type="dxa" w:w="831"/>
            <w:vMerge/>
          </w:tcPr>
          <w:p/>
        </w:tc>
        <w:tc>
          <w:tcPr>
            <w:tcW w:type="dxa" w:w="1661"/>
          </w:tcPr>
          <w:p>
            <w:pPr>
              <w:pStyle w:val="null3"/>
            </w:pPr>
            <w:r>
              <w:rPr>
                <w:rFonts w:ascii="仿宋_GB2312" w:hAnsi="仿宋_GB2312" w:cs="仿宋_GB2312" w:eastAsia="仿宋_GB2312"/>
              </w:rPr>
              <w:t>确保安全生产、文明施工的技术组织措施及环境保护措施2</w:t>
            </w:r>
          </w:p>
        </w:tc>
        <w:tc>
          <w:tcPr>
            <w:tcW w:type="dxa" w:w="2492"/>
          </w:tcPr>
          <w:p>
            <w:pPr>
              <w:pStyle w:val="null3"/>
            </w:pPr>
            <w:r>
              <w:rPr>
                <w:rFonts w:ascii="仿宋_GB2312" w:hAnsi="仿宋_GB2312" w:cs="仿宋_GB2312" w:eastAsia="仿宋_GB2312"/>
              </w:rPr>
              <w:t>2.根据供应商针对本项目提供安全文明、环保施工保证体系和控制点设置合理，满足国家、省市相关法规规定及采购文件要求进行评审： 内容完备、科学、合理、针对性强得2分； 内容较为完备，针对性较强的得1.5分； 内容较为简略、基本可行的得1分； 内容缺失严重、不合理和未提供的均不计分。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确保安全生产、文明施工的技术组织措施及环境保护措施.docx</w:t>
            </w:r>
          </w:p>
        </w:tc>
      </w:tr>
      <w:tr>
        <w:tc>
          <w:tcPr>
            <w:tcW w:type="dxa" w:w="831"/>
            <w:vMerge/>
          </w:tcPr>
          <w:p/>
        </w:tc>
        <w:tc>
          <w:tcPr>
            <w:tcW w:type="dxa" w:w="1661"/>
          </w:tcPr>
          <w:p>
            <w:pPr>
              <w:pStyle w:val="null3"/>
            </w:pPr>
            <w:r>
              <w:rPr>
                <w:rFonts w:ascii="仿宋_GB2312" w:hAnsi="仿宋_GB2312" w:cs="仿宋_GB2312" w:eastAsia="仿宋_GB2312"/>
              </w:rPr>
              <w:t>拟派项目经理业绩</w:t>
            </w:r>
          </w:p>
        </w:tc>
        <w:tc>
          <w:tcPr>
            <w:tcW w:type="dxa" w:w="2492"/>
          </w:tcPr>
          <w:p>
            <w:pPr>
              <w:pStyle w:val="null3"/>
            </w:pPr>
            <w:r>
              <w:rPr>
                <w:rFonts w:ascii="仿宋_GB2312" w:hAnsi="仿宋_GB2312" w:cs="仿宋_GB2312" w:eastAsia="仿宋_GB2312"/>
              </w:rPr>
              <w:t>供应商提供拟派项目经理自2023年5月1日至今已完成的类似业绩证明材料，每提供1项得1分，本项最多得2分。 备注：业绩时间以合同签订时间所体现的时间为准，合同中需要体现项目经理姓名，拟派项目经理业绩与企业业绩不可重合得分。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拟派项目经理业绩.docx</w:t>
            </w:r>
          </w:p>
        </w:tc>
      </w:tr>
      <w:tr>
        <w:tc>
          <w:tcPr>
            <w:tcW w:type="dxa" w:w="831"/>
            <w:vMerge/>
          </w:tcPr>
          <w:p/>
        </w:tc>
        <w:tc>
          <w:tcPr>
            <w:tcW w:type="dxa" w:w="1661"/>
          </w:tcPr>
          <w:p>
            <w:pPr>
              <w:pStyle w:val="null3"/>
            </w:pPr>
            <w:r>
              <w:rPr>
                <w:rFonts w:ascii="仿宋_GB2312" w:hAnsi="仿宋_GB2312" w:cs="仿宋_GB2312" w:eastAsia="仿宋_GB2312"/>
              </w:rPr>
              <w:t>项目人员组成</w:t>
            </w:r>
          </w:p>
        </w:tc>
        <w:tc>
          <w:tcPr>
            <w:tcW w:type="dxa" w:w="2492"/>
          </w:tcPr>
          <w:p>
            <w:pPr>
              <w:pStyle w:val="null3"/>
            </w:pPr>
            <w:r>
              <w:rPr>
                <w:rFonts w:ascii="仿宋_GB2312" w:hAnsi="仿宋_GB2312" w:cs="仿宋_GB2312" w:eastAsia="仿宋_GB2312"/>
              </w:rPr>
              <w:t>供应商针对本项目提供的项目人员组成，技术负责人（职称、学历、工作年限），其他项目人员构成情况（岗位设置、专业种类及能力、有技术职称的人员比例）等进行评审： 内容完备、科学、合理、针对性强得3分； 内容较为完备，针对性较强的得2分； 内容较为简略、基本可行的得0.8分； 内容缺失严重、不合理和未提供的均不计分。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项目人员组成.docx</w:t>
            </w:r>
          </w:p>
        </w:tc>
      </w:tr>
      <w:tr>
        <w:tc>
          <w:tcPr>
            <w:tcW w:type="dxa" w:w="831"/>
            <w:vMerge/>
          </w:tcPr>
          <w:p/>
        </w:tc>
        <w:tc>
          <w:tcPr>
            <w:tcW w:type="dxa" w:w="1661"/>
          </w:tcPr>
          <w:p>
            <w:pPr>
              <w:pStyle w:val="null3"/>
            </w:pPr>
            <w:r>
              <w:rPr>
                <w:rFonts w:ascii="仿宋_GB2312" w:hAnsi="仿宋_GB2312" w:cs="仿宋_GB2312" w:eastAsia="仿宋_GB2312"/>
              </w:rPr>
              <w:t>主要材料品质、价格表</w:t>
            </w:r>
          </w:p>
        </w:tc>
        <w:tc>
          <w:tcPr>
            <w:tcW w:type="dxa" w:w="2492"/>
          </w:tcPr>
          <w:p>
            <w:pPr>
              <w:pStyle w:val="null3"/>
            </w:pPr>
            <w:r>
              <w:rPr>
                <w:rFonts w:ascii="仿宋_GB2312" w:hAnsi="仿宋_GB2312" w:cs="仿宋_GB2312" w:eastAsia="仿宋_GB2312"/>
              </w:rPr>
              <w:t>供应商针对本项目提供的主要材料品质、价格表填写完整，无缺漏项的得3分。未提供或提供不全或拟投主要材料品质不明确的本项不得分。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主要材料品质、价格表.docx</w:t>
            </w:r>
          </w:p>
        </w:tc>
      </w:tr>
      <w:tr>
        <w:tc>
          <w:tcPr>
            <w:tcW w:type="dxa" w:w="831"/>
            <w:vMerge/>
          </w:tcPr>
          <w:p/>
        </w:tc>
        <w:tc>
          <w:tcPr>
            <w:tcW w:type="dxa" w:w="1661"/>
          </w:tcPr>
          <w:p>
            <w:pPr>
              <w:pStyle w:val="null3"/>
            </w:pPr>
            <w:r>
              <w:rPr>
                <w:rFonts w:ascii="仿宋_GB2312" w:hAnsi="仿宋_GB2312" w:cs="仿宋_GB2312" w:eastAsia="仿宋_GB2312"/>
              </w:rPr>
              <w:t>主要材料参数响应情况</w:t>
            </w:r>
          </w:p>
        </w:tc>
        <w:tc>
          <w:tcPr>
            <w:tcW w:type="dxa" w:w="2492"/>
          </w:tcPr>
          <w:p>
            <w:pPr>
              <w:pStyle w:val="null3"/>
            </w:pPr>
            <w:r>
              <w:rPr>
                <w:rFonts w:ascii="仿宋_GB2312" w:hAnsi="仿宋_GB2312" w:cs="仿宋_GB2312" w:eastAsia="仿宋_GB2312"/>
              </w:rPr>
              <w:t>本项目主要材料技术参数中标记“★”的参数需求为实质性要求，供应商必须响应并满足的参数需求，并按照要求提供佐证材料，未标记“★”的技术参数，完全响应主要材料技术参数的得5分；技术参数每有1项参数负偏离的扣0.5分，扣完为止。 备注：佐证材料可以是产品技术说明书或产品彩页或使用说明书或有资质的第三方出具的检验报告或设备功能证明及截图等供应商认为可以佐证参数响应性的材料。供应商对材料的真实性、完整性、有效性及针对性承担责任，自行承担因材料提供不全导致技术参数被认定为具体参数不满足或负偏离的风险。</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主要材料样品</w:t>
            </w:r>
          </w:p>
        </w:tc>
        <w:tc>
          <w:tcPr>
            <w:tcW w:type="dxa" w:w="2492"/>
          </w:tcPr>
          <w:p>
            <w:pPr>
              <w:pStyle w:val="null3"/>
            </w:pPr>
            <w:r>
              <w:rPr>
                <w:rFonts w:ascii="仿宋_GB2312" w:hAnsi="仿宋_GB2312" w:cs="仿宋_GB2312" w:eastAsia="仿宋_GB2312"/>
              </w:rPr>
              <w:t>根据供应商所提供的运动木地板样品（样块）材质、质量进行综合评审，其中包含： 1.面层(含油漆)：0-1分； 2.隔音降噪层（无纺布）：0-0.5分； 3.胶合板：0-0.5分； 4.龙骨：0-0.5分； 5.调平垫块：0-0.5分； 6.减震垫：0-0.5分； 7.通风式踢脚线0-0.5分； 等完整体育地板结构。 备注： （1）样品要求尺寸不小于500×500mm； （2）样品递交时间：于响应文件递交时间截止时间前递交。 （3）样品递交地点：同响应文件递交地点。 （4）供应商应在竞争性磋商会议举行前充分考虑样品的装卸、搬运等相关问题。由于供应商提供的样品未能在竞争性磋商会议开始时间之前搬运到指定地点或提供的样品在过程中发生损坏、遗失等相关不利风险，均由供应商自行承担相关责任，采购人与采购代理机构概不负责。 （5）供应商须提供1个纸箱放置样品（纸箱外包装不得体现供应商名称、品牌商标及Logo）；于响应文件截止时间之前递交至采购代理机构指定地点，未按要求递交的样品将会被拒收。 （6）开标会议结束后所有供应商的样品留存；在发布结果公告后成交供应商将样品送至采购人处，由采购人保管封存，验收以样品为准，未中标单位得样品在结果公告发布之日起2个工作日内自行领取处置，本次采购对供应商的样品无补偿费。 （7）未提供或提供样品（样块）不全的不得分。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主要材料品质、价格表.docx</w:t>
            </w:r>
          </w:p>
        </w:tc>
      </w:tr>
      <w:tr>
        <w:tc>
          <w:tcPr>
            <w:tcW w:type="dxa" w:w="831"/>
            <w:vMerge/>
          </w:tcPr>
          <w:p/>
        </w:tc>
        <w:tc>
          <w:tcPr>
            <w:tcW w:type="dxa" w:w="1661"/>
          </w:tcPr>
          <w:p>
            <w:pPr>
              <w:pStyle w:val="null3"/>
            </w:pPr>
            <w:r>
              <w:rPr>
                <w:rFonts w:ascii="仿宋_GB2312" w:hAnsi="仿宋_GB2312" w:cs="仿宋_GB2312" w:eastAsia="仿宋_GB2312"/>
              </w:rPr>
              <w:t>节能环保、绿色建材</w:t>
            </w:r>
          </w:p>
        </w:tc>
        <w:tc>
          <w:tcPr>
            <w:tcW w:type="dxa" w:w="2492"/>
          </w:tcPr>
          <w:p>
            <w:pPr>
              <w:pStyle w:val="null3"/>
            </w:pPr>
            <w:r>
              <w:rPr>
                <w:rFonts w:ascii="仿宋_GB2312" w:hAnsi="仿宋_GB2312" w:cs="仿宋_GB2312" w:eastAsia="仿宋_GB2312"/>
              </w:rPr>
              <w:t>供应商针对本项目所选用的材料采用绿色环保、节能材料的；以上内容每提供一项得0.5分，最高得4分，不提供不计分。 （以上内容需提供检测报告及相关证明材料等并加盖公章）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节能环保、绿色建材.docx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提供供应商2023年5月1日至今(以合同签订日期为准)类似业绩证明材料，每份业绩计0.5分，满分2分。 备注：业绩时间以合同签订时间所体现的时间为准。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企业业绩.docx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根据供应商提供的质保服务方案及承诺、与学校相关部门的配合协调承诺、人员安全保障承诺及优化建议等进行评审： 内容完备、科学、合理、针对性强得3分； 内容较为完备，针对性较强的得2分； 内容较为简略、基本可行的得0.8分； 内容缺失严重、不合理和未提供的均不计分。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服务承诺.docx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后报价最低的供应商的价格为磋商基准价，其价格分为满分。其他供应商的价格分统一按照下列公式计算：磋商报价得分=（磋商基准价/最后磋商报价）×55计算分数时四舍五入取小数点后两位。</w:t>
            </w:r>
          </w:p>
        </w:tc>
        <w:tc>
          <w:tcPr>
            <w:tcW w:type="dxa" w:w="831"/>
          </w:tcPr>
          <w:p>
            <w:pPr>
              <w:pStyle w:val="null3"/>
              <w:jc w:val="right"/>
            </w:pPr>
            <w:r>
              <w:rPr>
                <w:rFonts w:ascii="仿宋_GB2312" w:hAnsi="仿宋_GB2312" w:cs="仿宋_GB2312" w:eastAsia="仿宋_GB2312"/>
              </w:rPr>
              <w:t>55.0000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详见附件：供应商应提交的资格审查资料.docx</w:t>
      </w:r>
    </w:p>
    <w:p>
      <w:pPr>
        <w:pStyle w:val="null3"/>
        <w:ind w:firstLine="960"/>
      </w:pPr>
      <w:r>
        <w:rPr>
          <w:rFonts w:ascii="仿宋_GB2312" w:hAnsi="仿宋_GB2312" w:cs="仿宋_GB2312" w:eastAsia="仿宋_GB2312"/>
        </w:rPr>
        <w:t>详见附件：拟派项目经理及项目组人员承诺函.docx</w:t>
      </w:r>
    </w:p>
    <w:p>
      <w:pPr>
        <w:pStyle w:val="null3"/>
        <w:ind w:firstLine="960"/>
      </w:pPr>
      <w:r>
        <w:rPr>
          <w:rFonts w:ascii="仿宋_GB2312" w:hAnsi="仿宋_GB2312" w:cs="仿宋_GB2312" w:eastAsia="仿宋_GB2312"/>
        </w:rPr>
        <w:t>详见附件：拟派项目经理社保缴纳证明.docx</w:t>
      </w:r>
    </w:p>
    <w:p>
      <w:pPr>
        <w:pStyle w:val="null3"/>
        <w:ind w:firstLine="960"/>
      </w:pPr>
      <w:r>
        <w:rPr>
          <w:rFonts w:ascii="仿宋_GB2312" w:hAnsi="仿宋_GB2312" w:cs="仿宋_GB2312" w:eastAsia="仿宋_GB2312"/>
        </w:rPr>
        <w:t>详见附件：法定代表人证明书及授权书.docx</w:t>
      </w:r>
    </w:p>
    <w:p>
      <w:pPr>
        <w:pStyle w:val="null3"/>
        <w:ind w:firstLine="960"/>
      </w:pPr>
      <w:r>
        <w:rPr>
          <w:rFonts w:ascii="仿宋_GB2312" w:hAnsi="仿宋_GB2312" w:cs="仿宋_GB2312" w:eastAsia="仿宋_GB2312"/>
        </w:rPr>
        <w:t>详见附件：对项目整体理解及施工方案.docx</w:t>
      </w:r>
    </w:p>
    <w:p>
      <w:pPr>
        <w:pStyle w:val="null3"/>
        <w:ind w:firstLine="960"/>
      </w:pPr>
      <w:r>
        <w:rPr>
          <w:rFonts w:ascii="仿宋_GB2312" w:hAnsi="仿宋_GB2312" w:cs="仿宋_GB2312" w:eastAsia="仿宋_GB2312"/>
        </w:rPr>
        <w:t>详见附件：工程进度计划与保证措施.docx</w:t>
      </w:r>
    </w:p>
    <w:p>
      <w:pPr>
        <w:pStyle w:val="null3"/>
        <w:ind w:firstLine="960"/>
      </w:pPr>
      <w:r>
        <w:rPr>
          <w:rFonts w:ascii="仿宋_GB2312" w:hAnsi="仿宋_GB2312" w:cs="仿宋_GB2312" w:eastAsia="仿宋_GB2312"/>
        </w:rPr>
        <w:t>详见附件：质量管理体系与保证措施.docx</w:t>
      </w:r>
    </w:p>
    <w:p>
      <w:pPr>
        <w:pStyle w:val="null3"/>
        <w:ind w:firstLine="960"/>
      </w:pPr>
      <w:r>
        <w:rPr>
          <w:rFonts w:ascii="仿宋_GB2312" w:hAnsi="仿宋_GB2312" w:cs="仿宋_GB2312" w:eastAsia="仿宋_GB2312"/>
        </w:rPr>
        <w:t>详见附件：确保安全生产、文明施工的技术组织措施及环境保护措施.docx</w:t>
      </w:r>
    </w:p>
    <w:p>
      <w:pPr>
        <w:pStyle w:val="null3"/>
        <w:ind w:firstLine="960"/>
      </w:pPr>
      <w:r>
        <w:rPr>
          <w:rFonts w:ascii="仿宋_GB2312" w:hAnsi="仿宋_GB2312" w:cs="仿宋_GB2312" w:eastAsia="仿宋_GB2312"/>
        </w:rPr>
        <w:t>详见附件：拟派项目经理业绩.docx</w:t>
      </w:r>
    </w:p>
    <w:p>
      <w:pPr>
        <w:pStyle w:val="null3"/>
        <w:ind w:firstLine="960"/>
      </w:pPr>
      <w:r>
        <w:rPr>
          <w:rFonts w:ascii="仿宋_GB2312" w:hAnsi="仿宋_GB2312" w:cs="仿宋_GB2312" w:eastAsia="仿宋_GB2312"/>
        </w:rPr>
        <w:t>详见附件：项目人员组成.docx</w:t>
      </w:r>
    </w:p>
    <w:p>
      <w:pPr>
        <w:pStyle w:val="null3"/>
        <w:ind w:firstLine="960"/>
      </w:pPr>
      <w:r>
        <w:rPr>
          <w:rFonts w:ascii="仿宋_GB2312" w:hAnsi="仿宋_GB2312" w:cs="仿宋_GB2312" w:eastAsia="仿宋_GB2312"/>
        </w:rPr>
        <w:t>详见附件：主要材料品质、价格表.docx</w:t>
      </w:r>
    </w:p>
    <w:p>
      <w:pPr>
        <w:pStyle w:val="null3"/>
        <w:ind w:firstLine="960"/>
      </w:pPr>
      <w:r>
        <w:rPr>
          <w:rFonts w:ascii="仿宋_GB2312" w:hAnsi="仿宋_GB2312" w:cs="仿宋_GB2312" w:eastAsia="仿宋_GB2312"/>
        </w:rPr>
        <w:t>详见附件：节能环保、绿色建材.docx</w:t>
      </w:r>
    </w:p>
    <w:p>
      <w:pPr>
        <w:pStyle w:val="null3"/>
        <w:ind w:firstLine="960"/>
      </w:pPr>
      <w:r>
        <w:rPr>
          <w:rFonts w:ascii="仿宋_GB2312" w:hAnsi="仿宋_GB2312" w:cs="仿宋_GB2312" w:eastAsia="仿宋_GB2312"/>
        </w:rPr>
        <w:t>详见附件：企业业绩.docx</w:t>
      </w:r>
    </w:p>
    <w:p>
      <w:pPr>
        <w:pStyle w:val="null3"/>
        <w:ind w:firstLine="960"/>
      </w:pPr>
      <w:r>
        <w:rPr>
          <w:rFonts w:ascii="仿宋_GB2312" w:hAnsi="仿宋_GB2312" w:cs="仿宋_GB2312" w:eastAsia="仿宋_GB2312"/>
        </w:rPr>
        <w:t>详见附件：服务承诺.docx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