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7E31071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p>
    <w:p w14:paraId="4E64A16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3E25E88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w:t>
      </w:r>
      <w:r>
        <w:rPr>
          <w:rFonts w:hint="eastAsia" w:ascii="仿宋_GB2312" w:hAnsi="仿宋_GB2312" w:eastAsia="仿宋_GB2312" w:cs="仿宋_GB2312"/>
          <w:bCs/>
          <w:sz w:val="28"/>
          <w:szCs w:val="28"/>
          <w:lang w:eastAsia="zh-CN"/>
        </w:rPr>
        <w:t>成交供应商</w:t>
      </w:r>
      <w:r>
        <w:rPr>
          <w:rFonts w:hint="eastAsia" w:ascii="仿宋_GB2312" w:hAnsi="仿宋_GB2312" w:eastAsia="仿宋_GB2312" w:cs="仿宋_GB2312"/>
          <w:bCs/>
          <w:sz w:val="28"/>
          <w:szCs w:val="28"/>
        </w:rPr>
        <w:t xml:space="preserve">）： </w:t>
      </w:r>
    </w:p>
    <w:p w14:paraId="0445FC1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u w:val="single"/>
          <w:lang w:val="en-US" w:eastAsia="zh-CN"/>
        </w:rPr>
        <w:t>西安高新区2026年道路桥梁检测项目（</w:t>
      </w:r>
      <w:r>
        <w:rPr>
          <w:rFonts w:hint="eastAsia" w:ascii="仿宋_GB2312" w:hAnsi="仿宋_GB2312" w:eastAsia="仿宋_GB2312" w:cs="仿宋_GB2312"/>
          <w:bCs/>
          <w:sz w:val="28"/>
          <w:szCs w:val="28"/>
          <w:u w:val="single"/>
          <w:lang w:val="en-US" w:eastAsia="zh-Hans"/>
        </w:rPr>
        <w:t>项</w:t>
      </w:r>
      <w:bookmarkStart w:id="4" w:name="_GoBack"/>
      <w:bookmarkEnd w:id="4"/>
      <w:r>
        <w:rPr>
          <w:rFonts w:hint="eastAsia" w:ascii="仿宋_GB2312" w:hAnsi="仿宋_GB2312" w:eastAsia="仿宋_GB2312" w:cs="仿宋_GB2312"/>
          <w:bCs/>
          <w:sz w:val="28"/>
          <w:szCs w:val="28"/>
          <w:u w:val="single"/>
          <w:lang w:val="en-US" w:eastAsia="zh-Hans"/>
        </w:rPr>
        <w:t>目编号：</w:t>
      </w:r>
      <w:r>
        <w:rPr>
          <w:rFonts w:hint="eastAsia" w:ascii="仿宋_GB2312" w:hAnsi="仿宋_GB2312" w:eastAsia="仿宋_GB2312" w:cs="仿宋_GB2312"/>
          <w:bCs/>
          <w:sz w:val="28"/>
          <w:szCs w:val="28"/>
          <w:u w:val="single"/>
          <w:lang w:val="en-US" w:eastAsia="zh-CN"/>
        </w:rPr>
        <w:t>SXHC2026-124</w:t>
      </w:r>
      <w:r>
        <w:rPr>
          <w:rFonts w:hint="eastAsia" w:ascii="仿宋_GB2312" w:hAnsi="仿宋_GB2312" w:eastAsia="仿宋_GB2312" w:cs="仿宋_GB2312"/>
          <w:bCs/>
          <w:sz w:val="28"/>
          <w:szCs w:val="28"/>
          <w:u w:val="single"/>
          <w:lang w:val="en-US" w:eastAsia="zh-Hans"/>
        </w:rPr>
        <w:t>)</w:t>
      </w:r>
      <w:r>
        <w:rPr>
          <w:rFonts w:hint="eastAsia" w:ascii="仿宋_GB2312" w:hAnsi="仿宋_GB2312" w:eastAsia="仿宋_GB2312" w:cs="仿宋_GB2312"/>
          <w:bCs/>
          <w:sz w:val="28"/>
          <w:szCs w:val="28"/>
          <w:lang w:val="en-US" w:eastAsia="zh-Hans"/>
        </w:rPr>
        <w:t>，由陕西华采招标有限公司组织</w:t>
      </w:r>
      <w:r>
        <w:rPr>
          <w:rFonts w:hint="eastAsia" w:ascii="仿宋_GB2312" w:hAnsi="仿宋_GB2312" w:eastAsia="仿宋_GB2312" w:cs="仿宋_GB2312"/>
          <w:bCs/>
          <w:sz w:val="28"/>
          <w:szCs w:val="28"/>
          <w:lang w:val="en-US" w:eastAsia="zh-CN"/>
        </w:rPr>
        <w:t>竞争性磋商</w:t>
      </w:r>
      <w:r>
        <w:rPr>
          <w:rFonts w:hint="eastAsia" w:ascii="仿宋_GB2312" w:hAnsi="仿宋_GB2312" w:eastAsia="仿宋_GB2312" w:cs="仿宋_GB2312"/>
          <w:bCs/>
          <w:sz w:val="28"/>
          <w:szCs w:val="28"/>
          <w:lang w:val="en-US" w:eastAsia="zh-Hans"/>
        </w:rPr>
        <w:t>，</w:t>
      </w:r>
      <w:r>
        <w:rPr>
          <w:rFonts w:hint="eastAsia" w:ascii="仿宋_GB2312" w:hAnsi="仿宋_GB2312" w:eastAsia="仿宋_GB2312" w:cs="仿宋_GB2312"/>
          <w:bCs/>
          <w:sz w:val="28"/>
          <w:szCs w:val="28"/>
          <w:u w:val="single"/>
          <w:lang w:val="en-US" w:eastAsia="zh-Hans"/>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以下简称“甲方”</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确定</w:t>
      </w:r>
      <w:r>
        <w:rPr>
          <w:rFonts w:hint="eastAsia" w:ascii="仿宋_GB2312" w:hAnsi="仿宋_GB2312" w:eastAsia="仿宋_GB2312" w:cs="仿宋_GB2312"/>
          <w:bCs/>
          <w:sz w:val="28"/>
          <w:szCs w:val="28"/>
          <w:u w:val="single"/>
          <w:lang w:val="en-US" w:eastAsia="zh-Hans"/>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lang w:val="en-US" w:eastAsia="zh-Hans"/>
        </w:rPr>
        <w:t>（以下简称“乙方”）为该项目的</w:t>
      </w:r>
      <w:r>
        <w:rPr>
          <w:rFonts w:hint="eastAsia" w:ascii="仿宋_GB2312" w:hAnsi="仿宋_GB2312" w:eastAsia="仿宋_GB2312" w:cs="仿宋_GB2312"/>
          <w:bCs/>
          <w:sz w:val="28"/>
          <w:szCs w:val="28"/>
          <w:lang w:val="en-US" w:eastAsia="zh-CN"/>
        </w:rPr>
        <w:t>成交供应商</w:t>
      </w:r>
      <w:r>
        <w:rPr>
          <w:rFonts w:hint="eastAsia" w:ascii="仿宋_GB2312" w:hAnsi="仿宋_GB2312" w:eastAsia="仿宋_GB2312" w:cs="仿宋_GB2312"/>
          <w:bCs/>
          <w:sz w:val="28"/>
          <w:szCs w:val="28"/>
          <w:lang w:val="en-US" w:eastAsia="zh-Hans"/>
        </w:rPr>
        <w:t>。</w:t>
      </w:r>
    </w:p>
    <w:p w14:paraId="225BB13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Hans"/>
        </w:rPr>
        <w:t>依据《中华人民共和国</w:t>
      </w:r>
      <w:r>
        <w:rPr>
          <w:rFonts w:hint="eastAsia" w:ascii="仿宋_GB2312" w:hAnsi="仿宋_GB2312" w:eastAsia="仿宋_GB2312" w:cs="仿宋_GB2312"/>
          <w:bCs/>
          <w:sz w:val="28"/>
          <w:szCs w:val="28"/>
          <w:lang w:val="en-US" w:eastAsia="zh-CN"/>
        </w:rPr>
        <w:t>民法典</w:t>
      </w:r>
      <w:r>
        <w:rPr>
          <w:rFonts w:hint="eastAsia" w:ascii="仿宋_GB2312" w:hAnsi="仿宋_GB2312" w:eastAsia="仿宋_GB2312" w:cs="仿宋_GB2312"/>
          <w:bCs/>
          <w:sz w:val="28"/>
          <w:szCs w:val="28"/>
          <w:lang w:val="en-US" w:eastAsia="zh-Hans"/>
        </w:rPr>
        <w:t>》和《中华人民共和国政府采购法》之规定，经双方在平等、自愿、互利的基础上，签订本合同，共同信守。</w:t>
      </w:r>
    </w:p>
    <w:p w14:paraId="7425DEC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一、合同价款</w:t>
      </w:r>
    </w:p>
    <w:p w14:paraId="2FA8296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Hans"/>
        </w:rPr>
        <w:t>（一）本合同为固定全费用综合单价合同</w:t>
      </w:r>
      <w:r>
        <w:rPr>
          <w:rFonts w:hint="eastAsia" w:ascii="仿宋_GB2312" w:hAnsi="仿宋_GB2312" w:eastAsia="仿宋_GB2312" w:cs="仿宋_GB2312"/>
          <w:bCs/>
          <w:sz w:val="28"/>
          <w:szCs w:val="28"/>
          <w:lang w:val="zh-CN" w:eastAsia="zh-Hans"/>
        </w:rPr>
        <w:t>，包括但不限于人工费、材料费、设备费、设备进出场费、交通费、保险费、资料费、管理费、</w:t>
      </w:r>
      <w:r>
        <w:rPr>
          <w:rFonts w:hint="eastAsia" w:ascii="仿宋_GB2312" w:hAnsi="仿宋_GB2312" w:eastAsia="仿宋_GB2312" w:cs="仿宋_GB2312"/>
          <w:bCs/>
          <w:sz w:val="28"/>
          <w:szCs w:val="28"/>
          <w:lang w:val="en-US" w:eastAsia="zh-CN"/>
        </w:rPr>
        <w:t>利润、</w:t>
      </w:r>
      <w:r>
        <w:rPr>
          <w:rFonts w:hint="eastAsia" w:ascii="仿宋_GB2312" w:hAnsi="仿宋_GB2312" w:eastAsia="仿宋_GB2312" w:cs="仿宋_GB2312"/>
          <w:bCs/>
          <w:sz w:val="28"/>
          <w:szCs w:val="28"/>
          <w:lang w:val="zh-CN" w:eastAsia="zh-Hans"/>
        </w:rPr>
        <w:t>税金等一切相关费用，</w:t>
      </w:r>
      <w:r>
        <w:rPr>
          <w:rFonts w:hint="eastAsia" w:ascii="仿宋_GB2312" w:hAnsi="仿宋_GB2312" w:eastAsia="仿宋_GB2312" w:cs="仿宋_GB2312"/>
          <w:bCs/>
          <w:sz w:val="28"/>
          <w:szCs w:val="28"/>
          <w:lang w:val="en-US" w:eastAsia="zh-CN"/>
        </w:rPr>
        <w:t>项目实施过程中采购人不再增加任何费用。</w:t>
      </w:r>
    </w:p>
    <w:p w14:paraId="73CF687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CN"/>
        </w:rPr>
        <w:t>（二）取费项目及检测工程款：</w:t>
      </w:r>
    </w:p>
    <w:p w14:paraId="5DF1EE14">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道路桥梁检测项目单价明细表</w:t>
      </w:r>
    </w:p>
    <w:tbl>
      <w:tblPr>
        <w:tblStyle w:val="13"/>
        <w:tblW w:w="5286" w:type="pct"/>
        <w:tblInd w:w="-2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784"/>
        <w:gridCol w:w="778"/>
        <w:gridCol w:w="1428"/>
        <w:gridCol w:w="2089"/>
        <w:gridCol w:w="1023"/>
        <w:gridCol w:w="1285"/>
        <w:gridCol w:w="1482"/>
        <w:gridCol w:w="757"/>
      </w:tblGrid>
      <w:tr w14:paraId="7FDC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40" w:hRule="exact"/>
        </w:trPr>
        <w:tc>
          <w:tcPr>
            <w:tcW w:w="407" w:type="pct"/>
            <w:noWrap w:val="0"/>
            <w:vAlign w:val="center"/>
          </w:tcPr>
          <w:p w14:paraId="4BE1E4D3">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序号</w:t>
            </w:r>
          </w:p>
        </w:tc>
        <w:tc>
          <w:tcPr>
            <w:tcW w:w="404" w:type="pct"/>
            <w:noWrap w:val="0"/>
            <w:vAlign w:val="center"/>
          </w:tcPr>
          <w:p w14:paraId="15E39ED9">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类别</w:t>
            </w:r>
          </w:p>
        </w:tc>
        <w:tc>
          <w:tcPr>
            <w:tcW w:w="741" w:type="pct"/>
            <w:noWrap w:val="0"/>
            <w:vAlign w:val="center"/>
          </w:tcPr>
          <w:p w14:paraId="53C8DE0D">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项目名称</w:t>
            </w:r>
          </w:p>
        </w:tc>
        <w:tc>
          <w:tcPr>
            <w:tcW w:w="1084" w:type="pct"/>
            <w:noWrap w:val="0"/>
            <w:vAlign w:val="center"/>
          </w:tcPr>
          <w:p w14:paraId="02F5FCE2">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项目内容</w:t>
            </w:r>
          </w:p>
        </w:tc>
        <w:tc>
          <w:tcPr>
            <w:tcW w:w="531" w:type="pct"/>
            <w:noWrap w:val="0"/>
            <w:vAlign w:val="center"/>
          </w:tcPr>
          <w:p w14:paraId="73AB8FEE">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计量</w:t>
            </w:r>
          </w:p>
          <w:p w14:paraId="6CC63DA7">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单位</w:t>
            </w:r>
          </w:p>
        </w:tc>
        <w:tc>
          <w:tcPr>
            <w:tcW w:w="667" w:type="pct"/>
            <w:noWrap w:val="0"/>
            <w:vAlign w:val="center"/>
          </w:tcPr>
          <w:p w14:paraId="361FEB70">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预估</w:t>
            </w:r>
          </w:p>
          <w:p w14:paraId="43CF161B">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工程量</w:t>
            </w:r>
          </w:p>
        </w:tc>
        <w:tc>
          <w:tcPr>
            <w:tcW w:w="769" w:type="pct"/>
            <w:noWrap w:val="0"/>
            <w:vAlign w:val="center"/>
          </w:tcPr>
          <w:p w14:paraId="3C39C1E4">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全费用</w:t>
            </w:r>
          </w:p>
          <w:p w14:paraId="6502E386">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综合单价</w:t>
            </w:r>
          </w:p>
          <w:p w14:paraId="2803C0C8">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（元）</w:t>
            </w:r>
          </w:p>
        </w:tc>
        <w:tc>
          <w:tcPr>
            <w:tcW w:w="393" w:type="pct"/>
            <w:noWrap w:val="0"/>
            <w:vAlign w:val="center"/>
          </w:tcPr>
          <w:p w14:paraId="54618A47">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备注</w:t>
            </w:r>
          </w:p>
        </w:tc>
      </w:tr>
      <w:tr w14:paraId="278F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15" w:hRule="exact"/>
        </w:trPr>
        <w:tc>
          <w:tcPr>
            <w:tcW w:w="407" w:type="pct"/>
            <w:noWrap w:val="0"/>
            <w:vAlign w:val="center"/>
          </w:tcPr>
          <w:p w14:paraId="4ACC2B4C">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SA"/>
              </w:rPr>
              <w:t>1</w:t>
            </w:r>
          </w:p>
        </w:tc>
        <w:tc>
          <w:tcPr>
            <w:tcW w:w="404" w:type="pct"/>
            <w:noWrap w:val="0"/>
            <w:vAlign w:val="center"/>
          </w:tcPr>
          <w:p w14:paraId="4AAE8D0E">
            <w:pPr>
              <w:keepNext w:val="0"/>
              <w:keepLines w:val="0"/>
              <w:widowControl/>
              <w:suppressLineNumbers w:val="0"/>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SA"/>
              </w:rPr>
              <w:t>道路检测</w:t>
            </w:r>
          </w:p>
        </w:tc>
        <w:tc>
          <w:tcPr>
            <w:tcW w:w="741" w:type="pct"/>
            <w:noWrap w:val="0"/>
            <w:vAlign w:val="center"/>
          </w:tcPr>
          <w:p w14:paraId="72689952">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高新区道路检测</w:t>
            </w:r>
          </w:p>
        </w:tc>
        <w:tc>
          <w:tcPr>
            <w:tcW w:w="1084" w:type="pct"/>
            <w:noWrap w:val="0"/>
            <w:vAlign w:val="center"/>
          </w:tcPr>
          <w:p w14:paraId="0624DAB3">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每车道每1km的道路进行道路弯沉值、平整度、密实度等方面的检测</w:t>
            </w:r>
          </w:p>
        </w:tc>
        <w:tc>
          <w:tcPr>
            <w:tcW w:w="531" w:type="pct"/>
            <w:noWrap w:val="0"/>
            <w:vAlign w:val="center"/>
          </w:tcPr>
          <w:p w14:paraId="65A0BE8D">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km</w:t>
            </w:r>
          </w:p>
        </w:tc>
        <w:tc>
          <w:tcPr>
            <w:tcW w:w="667" w:type="pct"/>
            <w:noWrap w:val="0"/>
            <w:vAlign w:val="center"/>
          </w:tcPr>
          <w:p w14:paraId="7F915E02">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2"/>
                <w:sz w:val="28"/>
                <w:szCs w:val="28"/>
                <w:u w:val="none"/>
                <w:lang w:val="en-US" w:eastAsia="zh-CN" w:bidi="ar-SA"/>
              </w:rPr>
              <w:t>240</w:t>
            </w:r>
          </w:p>
        </w:tc>
        <w:tc>
          <w:tcPr>
            <w:tcW w:w="769" w:type="pct"/>
            <w:noWrap w:val="0"/>
            <w:vAlign w:val="center"/>
          </w:tcPr>
          <w:p w14:paraId="1329A1C5">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p>
        </w:tc>
        <w:tc>
          <w:tcPr>
            <w:tcW w:w="393" w:type="pct"/>
            <w:noWrap w:val="0"/>
            <w:vAlign w:val="center"/>
          </w:tcPr>
          <w:p w14:paraId="34CDCE3A">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p>
        </w:tc>
      </w:tr>
      <w:tr w14:paraId="6396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44" w:hRule="exact"/>
        </w:trPr>
        <w:tc>
          <w:tcPr>
            <w:tcW w:w="407" w:type="pct"/>
            <w:noWrap w:val="0"/>
            <w:vAlign w:val="center"/>
          </w:tcPr>
          <w:p w14:paraId="410B11C1">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SA"/>
              </w:rPr>
              <w:t>2</w:t>
            </w:r>
          </w:p>
        </w:tc>
        <w:tc>
          <w:tcPr>
            <w:tcW w:w="404" w:type="pct"/>
            <w:vMerge w:val="restart"/>
            <w:noWrap w:val="0"/>
            <w:vAlign w:val="center"/>
          </w:tcPr>
          <w:p w14:paraId="52119BF9">
            <w:pPr>
              <w:jc w:val="center"/>
              <w:rPr>
                <w:rFonts w:hint="eastAsia" w:ascii="仿宋_GB2312" w:hAnsi="仿宋_GB2312" w:eastAsia="仿宋_GB2312" w:cs="仿宋_GB2312"/>
                <w:b/>
                <w:i w:val="0"/>
                <w:color w:val="000000"/>
                <w:sz w:val="28"/>
                <w:szCs w:val="28"/>
                <w:u w:val="none"/>
                <w:lang w:eastAsia="zh-CN"/>
              </w:rPr>
            </w:pPr>
            <w:r>
              <w:rPr>
                <w:rFonts w:hint="eastAsia" w:ascii="仿宋_GB2312" w:hAnsi="仿宋_GB2312" w:eastAsia="仿宋_GB2312" w:cs="仿宋_GB2312"/>
                <w:b/>
                <w:i w:val="0"/>
                <w:color w:val="000000"/>
                <w:sz w:val="28"/>
                <w:szCs w:val="28"/>
                <w:u w:val="none"/>
                <w:lang w:eastAsia="zh-CN"/>
              </w:rPr>
              <w:t>桥梁检测</w:t>
            </w:r>
          </w:p>
        </w:tc>
        <w:tc>
          <w:tcPr>
            <w:tcW w:w="741" w:type="pct"/>
            <w:noWrap w:val="0"/>
            <w:vAlign w:val="center"/>
          </w:tcPr>
          <w:p w14:paraId="496842BD">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高新区立交桥检测</w:t>
            </w:r>
          </w:p>
        </w:tc>
        <w:tc>
          <w:tcPr>
            <w:tcW w:w="1084" w:type="pct"/>
            <w:noWrap w:val="0"/>
            <w:vAlign w:val="center"/>
          </w:tcPr>
          <w:p w14:paraId="1FC56F62">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对桥梁的桥面系、上部结构和下部结构进行年度例行检测</w:t>
            </w:r>
          </w:p>
        </w:tc>
        <w:tc>
          <w:tcPr>
            <w:tcW w:w="531" w:type="pct"/>
            <w:noWrap w:val="0"/>
            <w:vAlign w:val="center"/>
          </w:tcPr>
          <w:p w14:paraId="72E42F9A">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座</w:t>
            </w:r>
          </w:p>
        </w:tc>
        <w:tc>
          <w:tcPr>
            <w:tcW w:w="667" w:type="pct"/>
            <w:noWrap w:val="0"/>
            <w:vAlign w:val="center"/>
          </w:tcPr>
          <w:p w14:paraId="728A1A4A">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2</w:t>
            </w:r>
          </w:p>
        </w:tc>
        <w:tc>
          <w:tcPr>
            <w:tcW w:w="769" w:type="pct"/>
            <w:noWrap w:val="0"/>
            <w:vAlign w:val="center"/>
          </w:tcPr>
          <w:p w14:paraId="3287DAC5">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c>
          <w:tcPr>
            <w:tcW w:w="393" w:type="pct"/>
            <w:noWrap w:val="0"/>
            <w:vAlign w:val="center"/>
          </w:tcPr>
          <w:p w14:paraId="42BA3A8E">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r>
      <w:tr w14:paraId="1385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07" w:hRule="exact"/>
        </w:trPr>
        <w:tc>
          <w:tcPr>
            <w:tcW w:w="407" w:type="pct"/>
            <w:noWrap w:val="0"/>
            <w:vAlign w:val="center"/>
          </w:tcPr>
          <w:p w14:paraId="5FAA3FAC">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SA"/>
              </w:rPr>
              <w:t>3</w:t>
            </w:r>
          </w:p>
        </w:tc>
        <w:tc>
          <w:tcPr>
            <w:tcW w:w="404" w:type="pct"/>
            <w:vMerge w:val="continue"/>
            <w:noWrap w:val="0"/>
            <w:vAlign w:val="center"/>
          </w:tcPr>
          <w:p w14:paraId="4BE1D0ED">
            <w:pPr>
              <w:jc w:val="center"/>
              <w:rPr>
                <w:rFonts w:hint="eastAsia" w:ascii="仿宋_GB2312" w:hAnsi="仿宋_GB2312" w:eastAsia="仿宋_GB2312" w:cs="仿宋_GB2312"/>
                <w:b/>
                <w:i w:val="0"/>
                <w:color w:val="000000"/>
                <w:sz w:val="28"/>
                <w:szCs w:val="28"/>
                <w:u w:val="none"/>
              </w:rPr>
            </w:pPr>
          </w:p>
        </w:tc>
        <w:tc>
          <w:tcPr>
            <w:tcW w:w="741" w:type="pct"/>
            <w:noWrap w:val="0"/>
            <w:vAlign w:val="center"/>
          </w:tcPr>
          <w:p w14:paraId="1A7FBA18">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高新区跨线桥检测</w:t>
            </w:r>
          </w:p>
        </w:tc>
        <w:tc>
          <w:tcPr>
            <w:tcW w:w="1084" w:type="pct"/>
            <w:noWrap w:val="0"/>
            <w:vAlign w:val="center"/>
          </w:tcPr>
          <w:p w14:paraId="6D4A0BD9">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对桥梁的桥面系、上部结构和下部结构进行年度例行检测</w:t>
            </w:r>
          </w:p>
        </w:tc>
        <w:tc>
          <w:tcPr>
            <w:tcW w:w="531" w:type="pct"/>
            <w:noWrap w:val="0"/>
            <w:vAlign w:val="center"/>
          </w:tcPr>
          <w:p w14:paraId="65B610F8">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座</w:t>
            </w:r>
          </w:p>
        </w:tc>
        <w:tc>
          <w:tcPr>
            <w:tcW w:w="667" w:type="pct"/>
            <w:noWrap w:val="0"/>
            <w:vAlign w:val="center"/>
          </w:tcPr>
          <w:p w14:paraId="76DF9BAA">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5</w:t>
            </w:r>
          </w:p>
        </w:tc>
        <w:tc>
          <w:tcPr>
            <w:tcW w:w="769" w:type="pct"/>
            <w:noWrap w:val="0"/>
            <w:vAlign w:val="center"/>
          </w:tcPr>
          <w:p w14:paraId="4A8D8EF5">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c>
          <w:tcPr>
            <w:tcW w:w="393" w:type="pct"/>
            <w:noWrap w:val="0"/>
            <w:vAlign w:val="center"/>
          </w:tcPr>
          <w:p w14:paraId="1E062E41">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r>
      <w:tr w14:paraId="1ABC8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77" w:hRule="exact"/>
        </w:trPr>
        <w:tc>
          <w:tcPr>
            <w:tcW w:w="407" w:type="pct"/>
            <w:noWrap w:val="0"/>
            <w:vAlign w:val="center"/>
          </w:tcPr>
          <w:p w14:paraId="79920FDC">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SA"/>
              </w:rPr>
              <w:t>4</w:t>
            </w:r>
          </w:p>
        </w:tc>
        <w:tc>
          <w:tcPr>
            <w:tcW w:w="404" w:type="pct"/>
            <w:vMerge w:val="continue"/>
            <w:noWrap w:val="0"/>
            <w:vAlign w:val="center"/>
          </w:tcPr>
          <w:p w14:paraId="0D8FE12A">
            <w:pPr>
              <w:jc w:val="center"/>
              <w:rPr>
                <w:rFonts w:hint="eastAsia" w:ascii="仿宋_GB2312" w:hAnsi="仿宋_GB2312" w:eastAsia="仿宋_GB2312" w:cs="仿宋_GB2312"/>
                <w:b/>
                <w:i w:val="0"/>
                <w:color w:val="000000"/>
                <w:sz w:val="28"/>
                <w:szCs w:val="28"/>
                <w:u w:val="none"/>
              </w:rPr>
            </w:pPr>
          </w:p>
        </w:tc>
        <w:tc>
          <w:tcPr>
            <w:tcW w:w="741" w:type="pct"/>
            <w:noWrap w:val="0"/>
            <w:vAlign w:val="center"/>
          </w:tcPr>
          <w:p w14:paraId="78A5073B">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高新区人行天桥检测</w:t>
            </w:r>
          </w:p>
        </w:tc>
        <w:tc>
          <w:tcPr>
            <w:tcW w:w="1084" w:type="pct"/>
            <w:noWrap w:val="0"/>
            <w:vAlign w:val="center"/>
          </w:tcPr>
          <w:p w14:paraId="3D1F2A6F">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对桥梁的桥面系、上部结构和下部结构进行年度例行检测</w:t>
            </w:r>
          </w:p>
        </w:tc>
        <w:tc>
          <w:tcPr>
            <w:tcW w:w="531" w:type="pct"/>
            <w:noWrap w:val="0"/>
            <w:vAlign w:val="center"/>
          </w:tcPr>
          <w:p w14:paraId="4E96BE4C">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座</w:t>
            </w:r>
          </w:p>
        </w:tc>
        <w:tc>
          <w:tcPr>
            <w:tcW w:w="667" w:type="pct"/>
            <w:noWrap w:val="0"/>
            <w:vAlign w:val="center"/>
          </w:tcPr>
          <w:p w14:paraId="1477DD88">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2</w:t>
            </w:r>
          </w:p>
        </w:tc>
        <w:tc>
          <w:tcPr>
            <w:tcW w:w="769" w:type="pct"/>
            <w:noWrap w:val="0"/>
            <w:vAlign w:val="center"/>
          </w:tcPr>
          <w:p w14:paraId="2169474F">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c>
          <w:tcPr>
            <w:tcW w:w="393" w:type="pct"/>
            <w:noWrap w:val="0"/>
            <w:vAlign w:val="center"/>
          </w:tcPr>
          <w:p w14:paraId="2F2CB616">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r>
      <w:tr w14:paraId="601DB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85" w:hRule="exact"/>
        </w:trPr>
        <w:tc>
          <w:tcPr>
            <w:tcW w:w="407" w:type="pct"/>
            <w:noWrap w:val="0"/>
            <w:vAlign w:val="center"/>
          </w:tcPr>
          <w:p w14:paraId="31AD7847">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5</w:t>
            </w:r>
          </w:p>
        </w:tc>
        <w:tc>
          <w:tcPr>
            <w:tcW w:w="404" w:type="pct"/>
            <w:vMerge w:val="continue"/>
            <w:noWrap w:val="0"/>
            <w:vAlign w:val="center"/>
          </w:tcPr>
          <w:p w14:paraId="3985FC71">
            <w:pPr>
              <w:keepNext w:val="0"/>
              <w:keepLines w:val="0"/>
              <w:widowControl/>
              <w:suppressLineNumbers w:val="0"/>
              <w:jc w:val="center"/>
              <w:textAlignment w:val="center"/>
              <w:rPr>
                <w:rFonts w:hint="eastAsia" w:ascii="仿宋_GB2312" w:hAnsi="仿宋_GB2312" w:eastAsia="仿宋_GB2312" w:cs="仿宋_GB2312"/>
                <w:b/>
                <w:i w:val="0"/>
                <w:color w:val="000000"/>
                <w:kern w:val="2"/>
                <w:sz w:val="28"/>
                <w:szCs w:val="28"/>
                <w:u w:val="none"/>
                <w:lang w:val="en-US" w:eastAsia="zh-CN" w:bidi="ar-SA"/>
              </w:rPr>
            </w:pPr>
          </w:p>
        </w:tc>
        <w:tc>
          <w:tcPr>
            <w:tcW w:w="741" w:type="pct"/>
            <w:noWrap w:val="0"/>
            <w:vAlign w:val="center"/>
          </w:tcPr>
          <w:p w14:paraId="7892D3D4">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高新区跨河桥检测</w:t>
            </w:r>
          </w:p>
        </w:tc>
        <w:tc>
          <w:tcPr>
            <w:tcW w:w="1084" w:type="pct"/>
            <w:noWrap w:val="0"/>
            <w:vAlign w:val="center"/>
          </w:tcPr>
          <w:p w14:paraId="584D0883">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对桥梁的桥面系、上部结构和下部结构进行年度例行检测</w:t>
            </w:r>
          </w:p>
        </w:tc>
        <w:tc>
          <w:tcPr>
            <w:tcW w:w="531" w:type="pct"/>
            <w:noWrap w:val="0"/>
            <w:vAlign w:val="center"/>
          </w:tcPr>
          <w:p w14:paraId="1ACFDB31">
            <w:pPr>
              <w:keepNext w:val="0"/>
              <w:keepLines w:val="0"/>
              <w:widowControl/>
              <w:suppressLineNumbers w:val="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座</w:t>
            </w:r>
          </w:p>
        </w:tc>
        <w:tc>
          <w:tcPr>
            <w:tcW w:w="667" w:type="pct"/>
            <w:noWrap w:val="0"/>
            <w:vAlign w:val="center"/>
          </w:tcPr>
          <w:p w14:paraId="79C01AAF">
            <w:pPr>
              <w:keepNext w:val="0"/>
              <w:keepLines w:val="0"/>
              <w:widowControl/>
              <w:suppressLineNumbers w:val="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2</w:t>
            </w:r>
          </w:p>
        </w:tc>
        <w:tc>
          <w:tcPr>
            <w:tcW w:w="769" w:type="pct"/>
            <w:noWrap w:val="0"/>
            <w:vAlign w:val="center"/>
          </w:tcPr>
          <w:p w14:paraId="52DEF9A1">
            <w:pPr>
              <w:keepNext w:val="0"/>
              <w:keepLines w:val="0"/>
              <w:widowControl/>
              <w:suppressLineNumbers w:val="0"/>
              <w:jc w:val="center"/>
              <w:textAlignment w:val="bottom"/>
              <w:rPr>
                <w:rFonts w:hint="eastAsia" w:ascii="仿宋_GB2312" w:hAnsi="仿宋_GB2312" w:eastAsia="仿宋_GB2312" w:cs="仿宋_GB2312"/>
                <w:i w:val="0"/>
                <w:color w:val="000000"/>
                <w:kern w:val="0"/>
                <w:sz w:val="28"/>
                <w:szCs w:val="28"/>
                <w:u w:val="none"/>
                <w:lang w:val="en-US" w:eastAsia="zh-CN" w:bidi="ar-SA"/>
              </w:rPr>
            </w:pPr>
          </w:p>
        </w:tc>
        <w:tc>
          <w:tcPr>
            <w:tcW w:w="393" w:type="pct"/>
            <w:noWrap w:val="0"/>
            <w:vAlign w:val="center"/>
          </w:tcPr>
          <w:p w14:paraId="4BE1FA40">
            <w:pPr>
              <w:keepNext w:val="0"/>
              <w:keepLines w:val="0"/>
              <w:widowControl/>
              <w:suppressLineNumbers w:val="0"/>
              <w:jc w:val="center"/>
              <w:textAlignment w:val="bottom"/>
              <w:rPr>
                <w:rFonts w:hint="eastAsia" w:ascii="仿宋_GB2312" w:hAnsi="仿宋_GB2312" w:eastAsia="仿宋_GB2312" w:cs="仿宋_GB2312"/>
                <w:i w:val="0"/>
                <w:color w:val="000000"/>
                <w:kern w:val="0"/>
                <w:sz w:val="28"/>
                <w:szCs w:val="28"/>
                <w:u w:val="none"/>
                <w:lang w:val="en-US" w:eastAsia="zh-CN" w:bidi="ar-SA"/>
              </w:rPr>
            </w:pPr>
          </w:p>
        </w:tc>
      </w:tr>
      <w:tr w14:paraId="0E33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85" w:hRule="exact"/>
        </w:trPr>
        <w:tc>
          <w:tcPr>
            <w:tcW w:w="407" w:type="pct"/>
            <w:noWrap w:val="0"/>
            <w:vAlign w:val="center"/>
          </w:tcPr>
          <w:p w14:paraId="62E58CFB">
            <w:pPr>
              <w:keepNext w:val="0"/>
              <w:keepLines w:val="0"/>
              <w:widowControl/>
              <w:suppressLineNumbers w:val="0"/>
              <w:jc w:val="center"/>
              <w:textAlignment w:val="center"/>
              <w:rPr>
                <w:rFonts w:hint="default"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6</w:t>
            </w:r>
          </w:p>
        </w:tc>
        <w:tc>
          <w:tcPr>
            <w:tcW w:w="404" w:type="pct"/>
            <w:vMerge w:val="continue"/>
            <w:noWrap w:val="0"/>
            <w:vAlign w:val="center"/>
          </w:tcPr>
          <w:p w14:paraId="702E82B9">
            <w:pPr>
              <w:keepNext w:val="0"/>
              <w:keepLines w:val="0"/>
              <w:widowControl/>
              <w:suppressLineNumbers w:val="0"/>
              <w:jc w:val="center"/>
              <w:textAlignment w:val="center"/>
              <w:rPr>
                <w:rFonts w:hint="eastAsia" w:ascii="仿宋_GB2312" w:hAnsi="仿宋_GB2312" w:eastAsia="仿宋_GB2312" w:cs="仿宋_GB2312"/>
                <w:b/>
                <w:i w:val="0"/>
                <w:color w:val="000000"/>
                <w:kern w:val="2"/>
                <w:sz w:val="28"/>
                <w:szCs w:val="28"/>
                <w:u w:val="none"/>
                <w:lang w:val="en-US" w:eastAsia="zh-CN" w:bidi="ar-SA"/>
              </w:rPr>
            </w:pPr>
          </w:p>
        </w:tc>
        <w:tc>
          <w:tcPr>
            <w:tcW w:w="741" w:type="pct"/>
            <w:noWrap w:val="0"/>
            <w:vAlign w:val="center"/>
          </w:tcPr>
          <w:p w14:paraId="600F1F6D">
            <w:pPr>
              <w:keepNext w:val="0"/>
              <w:keepLines w:val="0"/>
              <w:widowControl/>
              <w:suppressLineNumbers w:val="0"/>
              <w:jc w:val="center"/>
              <w:textAlignment w:val="center"/>
              <w:rPr>
                <w:rFonts w:hint="default"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高新区跨河桥结构检测+荷载试验</w:t>
            </w:r>
          </w:p>
        </w:tc>
        <w:tc>
          <w:tcPr>
            <w:tcW w:w="1084" w:type="pct"/>
            <w:noWrap w:val="0"/>
            <w:vAlign w:val="center"/>
          </w:tcPr>
          <w:p w14:paraId="0C25AD7F">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对桥梁进行结构定期检测和荷载试验</w:t>
            </w:r>
          </w:p>
        </w:tc>
        <w:tc>
          <w:tcPr>
            <w:tcW w:w="531" w:type="pct"/>
            <w:noWrap w:val="0"/>
            <w:vAlign w:val="center"/>
          </w:tcPr>
          <w:p w14:paraId="37026B5D">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座</w:t>
            </w:r>
          </w:p>
        </w:tc>
        <w:tc>
          <w:tcPr>
            <w:tcW w:w="667" w:type="pct"/>
            <w:noWrap w:val="0"/>
            <w:vAlign w:val="center"/>
          </w:tcPr>
          <w:p w14:paraId="4FB9530A">
            <w:pPr>
              <w:keepNext w:val="0"/>
              <w:keepLines w:val="0"/>
              <w:widowControl/>
              <w:suppressLineNumbers w:val="0"/>
              <w:jc w:val="center"/>
              <w:textAlignment w:val="center"/>
              <w:rPr>
                <w:rFonts w:hint="default"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1</w:t>
            </w:r>
          </w:p>
        </w:tc>
        <w:tc>
          <w:tcPr>
            <w:tcW w:w="769" w:type="pct"/>
            <w:noWrap w:val="0"/>
            <w:vAlign w:val="center"/>
          </w:tcPr>
          <w:p w14:paraId="0EDE84B0">
            <w:pPr>
              <w:keepNext w:val="0"/>
              <w:keepLines w:val="0"/>
              <w:widowControl/>
              <w:suppressLineNumbers w:val="0"/>
              <w:jc w:val="center"/>
              <w:textAlignment w:val="bottom"/>
              <w:rPr>
                <w:rFonts w:hint="eastAsia" w:ascii="仿宋_GB2312" w:hAnsi="仿宋_GB2312" w:eastAsia="仿宋_GB2312" w:cs="仿宋_GB2312"/>
                <w:i w:val="0"/>
                <w:color w:val="000000"/>
                <w:kern w:val="0"/>
                <w:sz w:val="28"/>
                <w:szCs w:val="28"/>
                <w:u w:val="none"/>
                <w:lang w:val="en-US" w:eastAsia="zh-CN" w:bidi="ar-SA"/>
              </w:rPr>
            </w:pPr>
          </w:p>
        </w:tc>
        <w:tc>
          <w:tcPr>
            <w:tcW w:w="393" w:type="pct"/>
            <w:noWrap w:val="0"/>
            <w:vAlign w:val="center"/>
          </w:tcPr>
          <w:p w14:paraId="575C27E6">
            <w:pPr>
              <w:keepNext w:val="0"/>
              <w:keepLines w:val="0"/>
              <w:widowControl/>
              <w:suppressLineNumbers w:val="0"/>
              <w:jc w:val="center"/>
              <w:textAlignment w:val="bottom"/>
              <w:rPr>
                <w:rFonts w:hint="eastAsia" w:ascii="仿宋_GB2312" w:hAnsi="仿宋_GB2312" w:eastAsia="仿宋_GB2312" w:cs="仿宋_GB2312"/>
                <w:i w:val="0"/>
                <w:color w:val="000000"/>
                <w:kern w:val="0"/>
                <w:sz w:val="28"/>
                <w:szCs w:val="28"/>
                <w:u w:val="none"/>
                <w:lang w:val="en-US" w:eastAsia="zh-CN" w:bidi="ar-SA"/>
              </w:rPr>
            </w:pPr>
          </w:p>
        </w:tc>
      </w:tr>
    </w:tbl>
    <w:p w14:paraId="5A7F79A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
          <w:bCs w:val="0"/>
          <w:sz w:val="28"/>
          <w:szCs w:val="28"/>
          <w:lang w:val="en-US" w:eastAsia="zh-Hans"/>
        </w:rPr>
        <w:t>二、委托工作内容：</w:t>
      </w:r>
    </w:p>
    <w:p w14:paraId="5A12ACB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检测内容包括整个项目的</w:t>
      </w:r>
      <w:r>
        <w:rPr>
          <w:rFonts w:hint="eastAsia" w:ascii="仿宋_GB2312" w:hAnsi="仿宋_GB2312" w:eastAsia="仿宋_GB2312" w:cs="仿宋_GB2312"/>
          <w:bCs/>
          <w:sz w:val="28"/>
          <w:szCs w:val="28"/>
          <w:lang w:val="en-US" w:eastAsia="zh-CN"/>
        </w:rPr>
        <w:t>道路</w:t>
      </w:r>
      <w:r>
        <w:rPr>
          <w:rFonts w:hint="eastAsia" w:ascii="仿宋_GB2312" w:hAnsi="仿宋_GB2312" w:eastAsia="仿宋_GB2312" w:cs="仿宋_GB2312"/>
          <w:bCs/>
          <w:sz w:val="28"/>
          <w:szCs w:val="28"/>
          <w:lang w:val="en-US" w:eastAsia="zh-Hans"/>
        </w:rPr>
        <w:t>检测、</w:t>
      </w:r>
      <w:r>
        <w:rPr>
          <w:rFonts w:hint="eastAsia" w:ascii="仿宋_GB2312" w:hAnsi="仿宋_GB2312" w:eastAsia="仿宋_GB2312" w:cs="仿宋_GB2312"/>
          <w:bCs/>
          <w:sz w:val="28"/>
          <w:szCs w:val="28"/>
          <w:lang w:val="en-US" w:eastAsia="zh-CN"/>
        </w:rPr>
        <w:t>桥梁</w:t>
      </w:r>
      <w:r>
        <w:rPr>
          <w:rFonts w:hint="eastAsia" w:ascii="仿宋_GB2312" w:hAnsi="仿宋_GB2312" w:eastAsia="仿宋_GB2312" w:cs="仿宋_GB2312"/>
          <w:bCs/>
          <w:sz w:val="28"/>
          <w:szCs w:val="28"/>
          <w:lang w:val="en-US" w:eastAsia="zh-Hans"/>
        </w:rPr>
        <w:t>检测等。</w:t>
      </w:r>
    </w:p>
    <w:p w14:paraId="7D01ABB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
          <w:bCs w:val="0"/>
          <w:sz w:val="28"/>
          <w:szCs w:val="28"/>
          <w:lang w:val="en-US" w:eastAsia="zh-Hans"/>
        </w:rPr>
        <w:t>三、款项结算</w:t>
      </w:r>
    </w:p>
    <w:p w14:paraId="5B7B61DF">
      <w:pPr>
        <w:pStyle w:val="11"/>
        <w:widowControl w:val="0"/>
        <w:kinsoku/>
        <w:autoSpaceDE/>
        <w:autoSpaceDN/>
        <w:adjustRightInd w:val="0"/>
        <w:snapToGrid w:val="0"/>
        <w:spacing w:before="0" w:beforeAutospacing="0" w:after="0" w:afterAutospacing="0" w:line="360" w:lineRule="auto"/>
        <w:ind w:firstLine="560" w:firstLineChars="200"/>
        <w:jc w:val="both"/>
        <w:textAlignment w:val="auto"/>
        <w:rPr>
          <w:rFonts w:hint="eastAsia" w:ascii="仿宋_GB2312" w:hAnsi="仿宋_GB2312" w:eastAsia="仿宋_GB2312" w:cs="仿宋_GB2312"/>
          <w:snapToGrid/>
          <w:color w:val="auto"/>
          <w:sz w:val="28"/>
          <w:szCs w:val="28"/>
          <w:highlight w:val="red"/>
          <w:lang w:eastAsia="zh-CN"/>
        </w:rPr>
      </w:pPr>
      <w:bookmarkStart w:id="0" w:name="_Hlk69116164"/>
      <w:r>
        <w:rPr>
          <w:rFonts w:hint="eastAsia" w:ascii="仿宋_GB2312" w:hAnsi="仿宋_GB2312" w:eastAsia="仿宋_GB2312" w:cs="仿宋_GB2312"/>
          <w:bCs/>
          <w:sz w:val="28"/>
          <w:szCs w:val="28"/>
          <w:highlight w:val="none"/>
          <w:lang w:val="en-US" w:eastAsia="zh-Hans"/>
        </w:rPr>
        <w:t>（一）付款方式：</w:t>
      </w:r>
      <w:bookmarkEnd w:id="0"/>
      <w:r>
        <w:rPr>
          <w:rFonts w:hint="eastAsia" w:ascii="仿宋_GB2312" w:hAnsi="仿宋_GB2312" w:eastAsia="仿宋_GB2312" w:cs="仿宋_GB2312"/>
          <w:snapToGrid/>
          <w:color w:val="auto"/>
          <w:sz w:val="28"/>
          <w:szCs w:val="28"/>
          <w:highlight w:val="none"/>
          <w:lang w:eastAsia="zh-CN"/>
        </w:rPr>
        <w:t>自本合同生效之日起，按实结算,根据供应商成交单价乘以实际发生工程量按实结算,当结算金额高于145万元时,合同自动终止。</w:t>
      </w:r>
    </w:p>
    <w:p w14:paraId="3838508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（二）结算方式：银行转账。</w:t>
      </w:r>
    </w:p>
    <w:p w14:paraId="428D94A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乙方账户信息：</w:t>
      </w:r>
    </w:p>
    <w:p w14:paraId="69C9B65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开户银行：</w:t>
      </w:r>
    </w:p>
    <w:p w14:paraId="5CC84AD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户    名：</w:t>
      </w:r>
    </w:p>
    <w:p w14:paraId="4F74853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账    号：</w:t>
      </w:r>
    </w:p>
    <w:p w14:paraId="151B5BF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三）结算单位：由甲方负责结算，乙方在每次接受付款前，应按照甲方要求出具相应金额的发票。乙方出示非法发票的，视为违约行为，甲方有权暂停支付相应款项且不受上述条件的限制。两次出示非法发票的，甲方有权解除合同。给甲方造成损失的，乙方应承担赔偿责任。</w:t>
      </w:r>
    </w:p>
    <w:p w14:paraId="584CFEE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
          <w:bCs w:val="0"/>
          <w:sz w:val="28"/>
          <w:szCs w:val="28"/>
          <w:lang w:val="en-US" w:eastAsia="zh-Hans"/>
        </w:rPr>
        <w:t>四、服务地点及服务期</w:t>
      </w:r>
    </w:p>
    <w:p w14:paraId="58A9F20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Hans"/>
        </w:rPr>
      </w:pPr>
      <w:r>
        <w:rPr>
          <w:rFonts w:hint="eastAsia" w:ascii="仿宋_GB2312" w:hAnsi="仿宋_GB2312" w:eastAsia="仿宋_GB2312" w:cs="仿宋_GB2312"/>
          <w:bCs/>
          <w:sz w:val="28"/>
          <w:szCs w:val="28"/>
          <w:highlight w:val="none"/>
          <w:lang w:val="en-US" w:eastAsia="zh-Hans"/>
        </w:rPr>
        <w:t>（一）服务地点：</w:t>
      </w:r>
      <w:r>
        <w:rPr>
          <w:rFonts w:hint="eastAsia" w:ascii="仿宋_GB2312" w:hAnsi="仿宋_GB2312" w:eastAsia="仿宋_GB2312" w:cs="仿宋_GB2312"/>
          <w:bCs/>
          <w:sz w:val="28"/>
          <w:szCs w:val="28"/>
          <w:highlight w:val="none"/>
          <w:lang w:val="en-US" w:eastAsia="zh-CN"/>
        </w:rPr>
        <w:t>西安高新区范围内，具体以</w:t>
      </w:r>
      <w:r>
        <w:rPr>
          <w:rFonts w:hint="eastAsia" w:ascii="仿宋_GB2312" w:hAnsi="仿宋_GB2312" w:eastAsia="仿宋_GB2312" w:cs="仿宋_GB2312"/>
          <w:bCs/>
          <w:sz w:val="28"/>
          <w:szCs w:val="28"/>
          <w:highlight w:val="none"/>
          <w:lang w:val="en-US" w:eastAsia="zh-Hans"/>
        </w:rPr>
        <w:t>甲方指定地点</w:t>
      </w:r>
      <w:r>
        <w:rPr>
          <w:rFonts w:hint="eastAsia" w:ascii="仿宋_GB2312" w:hAnsi="仿宋_GB2312" w:eastAsia="仿宋_GB2312" w:cs="仿宋_GB2312"/>
          <w:bCs/>
          <w:sz w:val="28"/>
          <w:szCs w:val="28"/>
          <w:highlight w:val="none"/>
          <w:lang w:val="en-US" w:eastAsia="zh-CN"/>
        </w:rPr>
        <w:t>为准</w:t>
      </w:r>
      <w:r>
        <w:rPr>
          <w:rFonts w:hint="eastAsia" w:ascii="仿宋_GB2312" w:hAnsi="仿宋_GB2312" w:eastAsia="仿宋_GB2312" w:cs="仿宋_GB2312"/>
          <w:bCs/>
          <w:sz w:val="28"/>
          <w:szCs w:val="28"/>
          <w:highlight w:val="none"/>
          <w:lang w:val="en-US" w:eastAsia="zh-Hans"/>
        </w:rPr>
        <w:t>。</w:t>
      </w:r>
    </w:p>
    <w:p w14:paraId="4DEE402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highlight w:val="none"/>
          <w:lang w:val="en-US" w:eastAsia="zh-Hans"/>
        </w:rPr>
      </w:pPr>
      <w:r>
        <w:rPr>
          <w:rFonts w:hint="eastAsia" w:ascii="仿宋_GB2312" w:hAnsi="仿宋_GB2312" w:eastAsia="仿宋_GB2312" w:cs="仿宋_GB2312"/>
          <w:bCs/>
          <w:sz w:val="28"/>
          <w:szCs w:val="28"/>
          <w:highlight w:val="none"/>
          <w:lang w:val="en-US" w:eastAsia="zh-Hans"/>
        </w:rPr>
        <w:t>（二）服务期：自合同签订之日起3个月。</w:t>
      </w:r>
    </w:p>
    <w:p w14:paraId="0950CCD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
          <w:bCs w:val="0"/>
          <w:sz w:val="28"/>
          <w:szCs w:val="28"/>
          <w:lang w:val="en-US" w:eastAsia="zh-Hans"/>
        </w:rPr>
        <w:t>五、</w:t>
      </w:r>
      <w:bookmarkStart w:id="1" w:name="_Toc6938"/>
      <w:r>
        <w:rPr>
          <w:rFonts w:hint="eastAsia" w:ascii="仿宋_GB2312" w:hAnsi="仿宋_GB2312" w:eastAsia="仿宋_GB2312" w:cs="仿宋_GB2312"/>
          <w:b/>
          <w:bCs w:val="0"/>
          <w:sz w:val="28"/>
          <w:szCs w:val="28"/>
          <w:lang w:val="en-US" w:eastAsia="zh-Hans"/>
        </w:rPr>
        <w:t>双方的权利和义务</w:t>
      </w:r>
      <w:bookmarkEnd w:id="1"/>
    </w:p>
    <w:p w14:paraId="61F286F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（一）甲方的权利与义务</w:t>
      </w:r>
    </w:p>
    <w:p w14:paraId="3D64F18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1</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甲方负责配合本次项目服务工作；</w:t>
      </w:r>
    </w:p>
    <w:p w14:paraId="501928E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2</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甲方应按本合同的约定向乙方支付合同价款；</w:t>
      </w:r>
    </w:p>
    <w:p w14:paraId="27CC422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3</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甲方根据需要对乙方提供的服务方案进行审核，提供建议及意见，确定最终实施的服务方案，以便乙方遵照执行；</w:t>
      </w:r>
    </w:p>
    <w:p w14:paraId="022BCBD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4</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 xml:space="preserve">按照有关要求，对项目的进度、质量和保密等情况进行全程监督检查，并对相关成果进行抽查、检查； </w:t>
      </w:r>
    </w:p>
    <w:p w14:paraId="75DDF22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5</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组织对乙方形成的相关成果资料审核、评审；</w:t>
      </w:r>
    </w:p>
    <w:p w14:paraId="3C7FD46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（二）乙方的权利与义务</w:t>
      </w:r>
    </w:p>
    <w:p w14:paraId="45E74C7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1</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乙方的工作人员必须严格遵守甲方的规章制度，以良好的形象和积极的工作态度，按甲方要求开展工作；</w:t>
      </w:r>
    </w:p>
    <w:p w14:paraId="06CB9E8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2</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 xml:space="preserve">根据甲方提供的有关资料和委托要求，依据有关法规和规范等要求，按双方拟定的进度，按时、保质、保量提供相关数据及成果资料； </w:t>
      </w:r>
    </w:p>
    <w:p w14:paraId="3C1EF2E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3</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 xml:space="preserve">定期向甲方汇报项目进展、质量情况及存在问题； </w:t>
      </w:r>
    </w:p>
    <w:p w14:paraId="75B05E0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4</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 xml:space="preserve">严格按照国家和地方的相关规程、细则规定进行项目的实施，并对成果质量负责； </w:t>
      </w:r>
    </w:p>
    <w:p w14:paraId="0F4035D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5</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 xml:space="preserve">乙方应做好成果检查验收工作； </w:t>
      </w:r>
    </w:p>
    <w:p w14:paraId="54B111A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bookmarkStart w:id="2" w:name="_Toc4603"/>
      <w:bookmarkStart w:id="3" w:name="_Toc18752"/>
      <w:r>
        <w:rPr>
          <w:rFonts w:hint="eastAsia" w:ascii="仿宋_GB2312" w:hAnsi="仿宋_GB2312" w:eastAsia="仿宋_GB2312" w:cs="仿宋_GB2312"/>
          <w:b/>
          <w:bCs w:val="0"/>
          <w:sz w:val="28"/>
          <w:szCs w:val="28"/>
          <w:lang w:val="en-US" w:eastAsia="zh-Hans"/>
        </w:rPr>
        <w:t>六、成果的交付及归属</w:t>
      </w:r>
    </w:p>
    <w:p w14:paraId="283A9C4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（一）交付</w:t>
      </w:r>
    </w:p>
    <w:p w14:paraId="4A74C07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项目实施过程中保留完整的资料，</w:t>
      </w:r>
      <w:r>
        <w:rPr>
          <w:rFonts w:hint="eastAsia" w:ascii="仿宋_GB2312" w:hAnsi="仿宋_GB2312" w:eastAsia="仿宋_GB2312" w:cs="仿宋_GB2312"/>
          <w:bCs/>
          <w:sz w:val="28"/>
          <w:szCs w:val="28"/>
          <w:lang w:val="en-US" w:eastAsia="zh-CN"/>
        </w:rPr>
        <w:t>乙方</w:t>
      </w:r>
      <w:r>
        <w:rPr>
          <w:rFonts w:hint="eastAsia" w:ascii="仿宋_GB2312" w:hAnsi="仿宋_GB2312" w:eastAsia="仿宋_GB2312" w:cs="仿宋_GB2312"/>
          <w:bCs/>
          <w:sz w:val="28"/>
          <w:szCs w:val="28"/>
          <w:lang w:val="en-US" w:eastAsia="zh-Hans"/>
        </w:rPr>
        <w:t>在项目完工后移交</w:t>
      </w:r>
      <w:r>
        <w:rPr>
          <w:rFonts w:hint="eastAsia" w:ascii="仿宋_GB2312" w:hAnsi="仿宋_GB2312" w:eastAsia="仿宋_GB2312" w:cs="仿宋_GB2312"/>
          <w:bCs/>
          <w:sz w:val="28"/>
          <w:szCs w:val="28"/>
          <w:lang w:val="en-US" w:eastAsia="zh-CN"/>
        </w:rPr>
        <w:t>甲方</w:t>
      </w:r>
      <w:r>
        <w:rPr>
          <w:rFonts w:hint="eastAsia" w:ascii="仿宋_GB2312" w:hAnsi="仿宋_GB2312" w:eastAsia="仿宋_GB2312" w:cs="仿宋_GB2312"/>
          <w:bCs/>
          <w:sz w:val="28"/>
          <w:szCs w:val="28"/>
          <w:lang w:val="en-US" w:eastAsia="zh-Hans"/>
        </w:rPr>
        <w:t>2套，资料包括验收单、图纸、影像资料、汇总表、明细等，资料必须能够说明实施地点、时间、内容、工程量。</w:t>
      </w:r>
    </w:p>
    <w:p w14:paraId="7F6C4EE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（二）归属</w:t>
      </w:r>
    </w:p>
    <w:p w14:paraId="19F34F6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1</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 xml:space="preserve">开展该项工作的全部原始资料、中间过渡及最终成果所有权属于甲方。未经甲方书面授权许可，乙方不得擅自将原始资料、中间过渡和最终成果复制自留或提供给其他任何单位和个人使用，为自己或其他任何单位和个人谋取利益。 </w:t>
      </w:r>
    </w:p>
    <w:p w14:paraId="279ECBB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2</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本次成果所有权、使用权和著作权均属于甲方。乙方应确保提供服务过程中不会侵犯任何第三方的知识产权，否则承担由此产生的一切法律和经济责任。</w:t>
      </w:r>
    </w:p>
    <w:p w14:paraId="21667C8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3</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 xml:space="preserve">本项目作业过程中的所有资料或数据均属甲方，乙方不得以任何借口留存相关数据，且不得在合同规定之外自行处置数据，即不得自行删除、复制、修改、转移数据，同时不得以任何形式向第三方提供。 </w:t>
      </w:r>
    </w:p>
    <w:p w14:paraId="0CABBE0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4</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未经甲方允许，任何单位和个人不得转让和使用本项目的测绘成果。</w:t>
      </w:r>
    </w:p>
    <w:p w14:paraId="1AAF4EC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
          <w:bCs w:val="0"/>
          <w:sz w:val="28"/>
          <w:szCs w:val="28"/>
          <w:lang w:val="en-US" w:eastAsia="zh-Hans"/>
        </w:rPr>
        <w:t>七、保密制度</w:t>
      </w:r>
      <w:bookmarkEnd w:id="2"/>
      <w:bookmarkEnd w:id="3"/>
    </w:p>
    <w:p w14:paraId="0DC55D1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 xml:space="preserve">（一）乙方必须按国家有关保密法律法规的要求，采取有效的保密措施，严防甲方提供给乙方的成果和资料泄密。由于乙方原因造成成果资料泄密，一切责任乙方承担。 </w:t>
      </w:r>
    </w:p>
    <w:p w14:paraId="1D64734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（二）乙方不得利用甲方因执行本合同提供给乙方的成果和资料从事任何商业性活动。</w:t>
      </w:r>
    </w:p>
    <w:p w14:paraId="1C7F077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 xml:space="preserve">（三）乙方应妥善保管项目相关资料及成果文件，未经甲方许可，不得复制、转让（借）、公开或销毁。乙方应与项目组所有成员签订保密协议，并将保密协议报送甲方备案。 </w:t>
      </w:r>
    </w:p>
    <w:p w14:paraId="1722007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 xml:space="preserve">（四）除法律规定或合同另有约定外，未经甲方同意，乙方不得将甲方提供的相关资料、数据和图件泄露给第三方。 </w:t>
      </w:r>
    </w:p>
    <w:p w14:paraId="1753412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（五）本合同的解除或终止不免除乙方应承担的保密义务。</w:t>
      </w:r>
    </w:p>
    <w:p w14:paraId="51191FF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
          <w:bCs w:val="0"/>
          <w:sz w:val="28"/>
          <w:szCs w:val="28"/>
          <w:lang w:val="en-US" w:eastAsia="zh-Hans"/>
        </w:rPr>
        <w:t>八、知识产权</w:t>
      </w:r>
    </w:p>
    <w:p w14:paraId="0FAABBF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乙方应保证甲方在使用本项目服务及货物时，不承担任何涉及专利、商标及知识产权等方面的法律诉讼责任。</w:t>
      </w:r>
    </w:p>
    <w:p w14:paraId="5E8B9C6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
          <w:bCs w:val="0"/>
          <w:sz w:val="28"/>
          <w:szCs w:val="28"/>
          <w:lang w:val="en-US" w:eastAsia="zh-Hans"/>
        </w:rPr>
        <w:t>九、其他事项</w:t>
      </w:r>
    </w:p>
    <w:p w14:paraId="5CC402F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（一）乙方不得转让、分包给其它单位或个人。</w:t>
      </w:r>
    </w:p>
    <w:p w14:paraId="725797A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（二）乙方的</w:t>
      </w:r>
      <w:r>
        <w:rPr>
          <w:rFonts w:hint="eastAsia" w:ascii="仿宋_GB2312" w:hAnsi="仿宋_GB2312" w:eastAsia="仿宋_GB2312" w:cs="仿宋_GB2312"/>
          <w:bCs/>
          <w:sz w:val="28"/>
          <w:szCs w:val="28"/>
          <w:lang w:val="en-US" w:eastAsia="zh-CN"/>
        </w:rPr>
        <w:t>响应</w:t>
      </w:r>
      <w:r>
        <w:rPr>
          <w:rFonts w:hint="eastAsia" w:ascii="仿宋_GB2312" w:hAnsi="仿宋_GB2312" w:eastAsia="仿宋_GB2312" w:cs="仿宋_GB2312"/>
          <w:bCs/>
          <w:sz w:val="28"/>
          <w:szCs w:val="28"/>
          <w:lang w:val="en-US" w:eastAsia="zh-Hans"/>
        </w:rPr>
        <w:t>文件和承诺等内容将列入合同。</w:t>
      </w:r>
    </w:p>
    <w:p w14:paraId="5626F60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
          <w:bCs w:val="0"/>
          <w:sz w:val="28"/>
          <w:szCs w:val="28"/>
          <w:lang w:val="en-US" w:eastAsia="zh-Hans"/>
        </w:rPr>
        <w:t>十、验收</w:t>
      </w:r>
    </w:p>
    <w:p w14:paraId="38783E6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项目完成后，由乙方向甲方递交检测成果报告，甲方确认。检测质量需符合国家、陕西省、西安市以及行业等有关检测技术规范要求和标准。</w:t>
      </w:r>
    </w:p>
    <w:p w14:paraId="77C09D0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i w:val="0"/>
          <w:iCs w:val="0"/>
          <w:sz w:val="28"/>
          <w:szCs w:val="28"/>
          <w:lang w:val="en-US" w:eastAsia="zh-Hans"/>
        </w:rPr>
      </w:pPr>
      <w:r>
        <w:rPr>
          <w:rFonts w:hint="eastAsia" w:ascii="仿宋_GB2312" w:hAnsi="仿宋_GB2312" w:eastAsia="仿宋_GB2312" w:cs="仿宋_GB2312"/>
          <w:b/>
          <w:bCs w:val="0"/>
          <w:i w:val="0"/>
          <w:iCs w:val="0"/>
          <w:sz w:val="28"/>
          <w:szCs w:val="28"/>
          <w:lang w:val="en-US" w:eastAsia="zh-Hans"/>
        </w:rPr>
        <w:t>十一、违约责任</w:t>
      </w:r>
    </w:p>
    <w:p w14:paraId="09CFBB8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（一）甲方违约责任</w:t>
      </w:r>
    </w:p>
    <w:p w14:paraId="0E6656D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1</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本合同签订后，若由于非乙方原因，若乙方尚未进入现场，则甲方未支付的合同款项不再支付，已支付的款项，乙方应予以退还，若乙方已经进入现场工作的，甲方应按照乙方已完成实际工作量支付检测工程款。</w:t>
      </w:r>
    </w:p>
    <w:p w14:paraId="07F3AEB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2</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甲方未按本合同约定期限支付乙方工程款的，每延迟一天，应按本合同约定的检测工程总价款的1‰的标准向乙方支付违约金。</w:t>
      </w:r>
    </w:p>
    <w:p w14:paraId="4C02F07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3</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 xml:space="preserve">对于乙方提供的图纸资料以及检测成果等，甲方有义务保密，不得用于本合同项下检测工程以外的项目和目的，否则乙方有权要求甲方承担相应的违约责任。 </w:t>
      </w:r>
    </w:p>
    <w:p w14:paraId="50DFCB3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（二）乙方违约责任</w:t>
      </w:r>
    </w:p>
    <w:p w14:paraId="7B2351D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1</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乙方未能按合同规定日期提交检测成果时，应向甲方偿付拖期损失费，每天的拖期损失费按本合同约定的检测工程总价款的1‰计算；</w:t>
      </w:r>
    </w:p>
    <w:p w14:paraId="739BA78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2</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乙方提供的检测成果质量不合格的，乙方应负责无偿予以重测或采取补救措施，以达到质量要求。因检测成果质量不符合合同要求（而又非甲方提供的图纸资料原因所致）给甲方造成损失时，乙方应对因此造成的直接损失负赔偿责任，并按本合同约定的检测工程款总额的20%向甲方支付违约金。乙方应在甲方指定的期限内返工并提交检测成果。</w:t>
      </w:r>
    </w:p>
    <w:p w14:paraId="6D070C2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3</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对于甲方提供的图纸和技术资料以及属于甲方的检测成果，乙方有保密义务，不得以任何方式告知任何第三方，否则，甲方有权要求乙方赔偿损失，并按本合同约定的检测工程款总额的20%向甲方支付违约金。</w:t>
      </w:r>
    </w:p>
    <w:p w14:paraId="3C8F8F3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4</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lang w:val="en-US" w:eastAsia="zh-Hans"/>
        </w:rPr>
        <w:t>乙方擅自转包或分包本合同标的的，甲方有权解除合同，并有权要求乙方支付约定的检测工程款总额20%的违约金。</w:t>
      </w:r>
    </w:p>
    <w:p w14:paraId="5E13015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
          <w:bCs w:val="0"/>
          <w:sz w:val="28"/>
          <w:szCs w:val="28"/>
          <w:lang w:val="en-US" w:eastAsia="zh-Hans"/>
        </w:rPr>
        <w:t>十二、合同争议解决的方式</w:t>
      </w:r>
    </w:p>
    <w:p w14:paraId="7466204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本合同在履行过程中发生的争议，由甲、乙双方当事人协商解决，协商不成的按下列第</w:t>
      </w:r>
      <w:r>
        <w:rPr>
          <w:rFonts w:hint="eastAsia" w:ascii="仿宋_GB2312" w:hAnsi="仿宋_GB2312" w:eastAsia="仿宋_GB2312" w:cs="仿宋_GB2312"/>
          <w:bCs/>
          <w:sz w:val="28"/>
          <w:szCs w:val="28"/>
          <w:u w:val="single"/>
          <w:lang w:val="en-US" w:eastAsia="zh-Hans"/>
        </w:rPr>
        <w:t>（二）</w:t>
      </w:r>
      <w:r>
        <w:rPr>
          <w:rFonts w:hint="eastAsia" w:ascii="仿宋_GB2312" w:hAnsi="仿宋_GB2312" w:eastAsia="仿宋_GB2312" w:cs="仿宋_GB2312"/>
          <w:bCs/>
          <w:sz w:val="28"/>
          <w:szCs w:val="28"/>
          <w:lang w:val="en-US" w:eastAsia="zh-Hans"/>
        </w:rPr>
        <w:t>种方式解决：</w:t>
      </w:r>
    </w:p>
    <w:p w14:paraId="6712DC3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（一）提交项目所在地仲裁委员会仲裁；</w:t>
      </w:r>
    </w:p>
    <w:p w14:paraId="4999C7D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（二）依法向甲方所在地法院起诉。</w:t>
      </w:r>
    </w:p>
    <w:p w14:paraId="7DDF126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2" w:firstLineChars="200"/>
        <w:textAlignment w:val="auto"/>
        <w:rPr>
          <w:rFonts w:hint="eastAsia" w:ascii="仿宋_GB2312" w:hAnsi="仿宋_GB2312" w:eastAsia="仿宋_GB2312" w:cs="仿宋_GB2312"/>
          <w:b/>
          <w:bCs w:val="0"/>
          <w:sz w:val="28"/>
          <w:szCs w:val="28"/>
          <w:lang w:val="en-US" w:eastAsia="zh-Hans"/>
        </w:rPr>
      </w:pPr>
      <w:r>
        <w:rPr>
          <w:rFonts w:hint="eastAsia" w:ascii="仿宋_GB2312" w:hAnsi="仿宋_GB2312" w:eastAsia="仿宋_GB2312" w:cs="仿宋_GB2312"/>
          <w:b/>
          <w:bCs w:val="0"/>
          <w:sz w:val="28"/>
          <w:szCs w:val="28"/>
          <w:lang w:val="en-US" w:eastAsia="zh-Hans"/>
        </w:rPr>
        <w:t>十三、合同生效</w:t>
      </w:r>
    </w:p>
    <w:p w14:paraId="77E918D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（一）本合同须经甲、乙双方的法定代表人（授权代表）在合同书上签字并加盖本单位公章后正式生效。</w:t>
      </w:r>
    </w:p>
    <w:p w14:paraId="4DEB385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（二）合同生效后，甲、乙双方须严格执行本合同条款的规定，全面履行合同，违者按《中华人民共和国民法典》的有关规定承担相应责任。</w:t>
      </w:r>
    </w:p>
    <w:p w14:paraId="779616D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560" w:firstLineChars="200"/>
        <w:textAlignment w:val="auto"/>
        <w:rPr>
          <w:rFonts w:hint="eastAsia" w:ascii="仿宋_GB2312" w:hAnsi="仿宋_GB2312" w:eastAsia="仿宋_GB2312" w:cs="仿宋_GB2312"/>
          <w:bCs/>
          <w:sz w:val="28"/>
          <w:szCs w:val="28"/>
          <w:lang w:val="en-US" w:eastAsia="zh-Hans"/>
        </w:rPr>
      </w:pPr>
      <w:r>
        <w:rPr>
          <w:rFonts w:hint="eastAsia" w:ascii="仿宋_GB2312" w:hAnsi="仿宋_GB2312" w:eastAsia="仿宋_GB2312" w:cs="仿宋_GB2312"/>
          <w:bCs/>
          <w:sz w:val="28"/>
          <w:szCs w:val="28"/>
          <w:lang w:val="en-US" w:eastAsia="zh-Hans"/>
        </w:rPr>
        <w:t>（三）本合同一式</w:t>
      </w:r>
      <w:r>
        <w:rPr>
          <w:rFonts w:hint="eastAsia" w:ascii="仿宋_GB2312" w:hAnsi="仿宋_GB2312" w:eastAsia="仿宋_GB2312" w:cs="仿宋_GB2312"/>
          <w:bCs/>
          <w:sz w:val="28"/>
          <w:szCs w:val="28"/>
          <w:u w:val="single"/>
          <w:lang w:val="en-US" w:eastAsia="zh-Hans"/>
        </w:rPr>
        <w:t xml:space="preserve">   </w:t>
      </w:r>
      <w:r>
        <w:rPr>
          <w:rFonts w:hint="eastAsia" w:ascii="仿宋_GB2312" w:hAnsi="仿宋_GB2312" w:eastAsia="仿宋_GB2312" w:cs="仿宋_GB2312"/>
          <w:bCs/>
          <w:sz w:val="28"/>
          <w:szCs w:val="28"/>
          <w:lang w:val="en-US" w:eastAsia="zh-Hans"/>
        </w:rPr>
        <w:t>份，甲乙双方各执</w:t>
      </w:r>
      <w:r>
        <w:rPr>
          <w:rFonts w:hint="eastAsia" w:ascii="仿宋_GB2312" w:hAnsi="仿宋_GB2312" w:eastAsia="仿宋_GB2312" w:cs="仿宋_GB2312"/>
          <w:bCs/>
          <w:sz w:val="28"/>
          <w:szCs w:val="28"/>
          <w:u w:val="single"/>
          <w:lang w:val="en-US" w:eastAsia="zh-Hans"/>
        </w:rPr>
        <w:t xml:space="preserve">    </w:t>
      </w:r>
      <w:r>
        <w:rPr>
          <w:rFonts w:hint="eastAsia" w:ascii="仿宋_GB2312" w:hAnsi="仿宋_GB2312" w:eastAsia="仿宋_GB2312" w:cs="仿宋_GB2312"/>
          <w:bCs/>
          <w:sz w:val="28"/>
          <w:szCs w:val="28"/>
          <w:lang w:val="en-US" w:eastAsia="zh-Hans"/>
        </w:rPr>
        <w:t>份。</w:t>
      </w:r>
    </w:p>
    <w:p w14:paraId="772CFAE1">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lang w:val="en-US" w:eastAsia="zh-Hans"/>
        </w:rPr>
        <w:t>（四）本合同如有未尽事宜，甲、乙双方协商解决</w:t>
      </w:r>
      <w:r>
        <w:rPr>
          <w:rFonts w:hint="eastAsia" w:ascii="仿宋_GB2312" w:hAnsi="仿宋_GB2312" w:eastAsia="仿宋_GB2312" w:cs="仿宋_GB2312"/>
          <w:sz w:val="28"/>
          <w:szCs w:val="28"/>
        </w:rPr>
        <w:t>。</w:t>
      </w:r>
    </w:p>
    <w:p w14:paraId="2279585F">
      <w:pPr>
        <w:pStyle w:val="5"/>
        <w:rPr>
          <w:rFonts w:hint="eastAsia" w:ascii="仿宋_GB2312" w:hAnsi="仿宋_GB2312" w:eastAsia="仿宋_GB2312" w:cs="仿宋_GB2312"/>
          <w:sz w:val="15"/>
          <w:szCs w:val="15"/>
        </w:rPr>
      </w:pPr>
    </w:p>
    <w:p w14:paraId="6319C7E3"/>
    <w:tbl>
      <w:tblPr>
        <w:tblStyle w:val="13"/>
        <w:tblW w:w="0" w:type="auto"/>
        <w:jc w:val="center"/>
        <w:tblLayout w:type="fixed"/>
        <w:tblCellMar>
          <w:top w:w="0" w:type="dxa"/>
          <w:left w:w="108" w:type="dxa"/>
          <w:bottom w:w="0" w:type="dxa"/>
          <w:right w:w="108" w:type="dxa"/>
        </w:tblCellMar>
      </w:tblPr>
      <w:tblGrid>
        <w:gridCol w:w="4201"/>
        <w:gridCol w:w="4202"/>
      </w:tblGrid>
      <w:tr w14:paraId="7ADEF8A1">
        <w:tblPrEx>
          <w:tblCellMar>
            <w:top w:w="0" w:type="dxa"/>
            <w:left w:w="108" w:type="dxa"/>
            <w:bottom w:w="0" w:type="dxa"/>
            <w:right w:w="108" w:type="dxa"/>
          </w:tblCellMar>
        </w:tblPrEx>
        <w:trPr>
          <w:trHeight w:val="567" w:hRule="exact"/>
          <w:jc w:val="center"/>
        </w:trPr>
        <w:tc>
          <w:tcPr>
            <w:tcW w:w="4201" w:type="dxa"/>
            <w:noWrap w:val="0"/>
            <w:vAlign w:val="center"/>
          </w:tcPr>
          <w:p w14:paraId="304D2A9B">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甲  方</w:t>
            </w:r>
          </w:p>
        </w:tc>
        <w:tc>
          <w:tcPr>
            <w:tcW w:w="4202" w:type="dxa"/>
            <w:noWrap w:val="0"/>
            <w:vAlign w:val="center"/>
          </w:tcPr>
          <w:p w14:paraId="4499C4A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乙  方</w:t>
            </w:r>
          </w:p>
        </w:tc>
      </w:tr>
      <w:tr w14:paraId="1AD84AED">
        <w:tblPrEx>
          <w:tblCellMar>
            <w:top w:w="0" w:type="dxa"/>
            <w:left w:w="108" w:type="dxa"/>
            <w:bottom w:w="0" w:type="dxa"/>
            <w:right w:w="108" w:type="dxa"/>
          </w:tblCellMar>
        </w:tblPrEx>
        <w:trPr>
          <w:trHeight w:val="567" w:hRule="exact"/>
          <w:jc w:val="center"/>
        </w:trPr>
        <w:tc>
          <w:tcPr>
            <w:tcW w:w="4201" w:type="dxa"/>
            <w:noWrap w:val="0"/>
            <w:vAlign w:val="center"/>
          </w:tcPr>
          <w:p w14:paraId="25776D00">
            <w:pPr>
              <w:ind w:firstLine="840" w:firstLineChars="35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c>
          <w:tcPr>
            <w:tcW w:w="4202" w:type="dxa"/>
            <w:noWrap w:val="0"/>
            <w:vAlign w:val="center"/>
          </w:tcPr>
          <w:p w14:paraId="3006333B">
            <w:pPr>
              <w:ind w:firstLine="960" w:firstLineChars="4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r>
      <w:tr w14:paraId="05448D3B">
        <w:tblPrEx>
          <w:tblCellMar>
            <w:top w:w="0" w:type="dxa"/>
            <w:left w:w="108" w:type="dxa"/>
            <w:bottom w:w="0" w:type="dxa"/>
            <w:right w:w="108" w:type="dxa"/>
          </w:tblCellMar>
        </w:tblPrEx>
        <w:trPr>
          <w:trHeight w:val="567" w:hRule="exact"/>
          <w:jc w:val="center"/>
        </w:trPr>
        <w:tc>
          <w:tcPr>
            <w:tcW w:w="4201" w:type="dxa"/>
            <w:noWrap w:val="0"/>
            <w:vAlign w:val="center"/>
          </w:tcPr>
          <w:p w14:paraId="6899C4C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地址： </w:t>
            </w:r>
          </w:p>
        </w:tc>
        <w:tc>
          <w:tcPr>
            <w:tcW w:w="4202" w:type="dxa"/>
            <w:noWrap w:val="0"/>
            <w:vAlign w:val="center"/>
          </w:tcPr>
          <w:p w14:paraId="13194C5F">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地址：</w:t>
            </w:r>
          </w:p>
        </w:tc>
      </w:tr>
      <w:tr w14:paraId="2E303375">
        <w:tblPrEx>
          <w:tblCellMar>
            <w:top w:w="0" w:type="dxa"/>
            <w:left w:w="108" w:type="dxa"/>
            <w:bottom w:w="0" w:type="dxa"/>
            <w:right w:w="108" w:type="dxa"/>
          </w:tblCellMar>
        </w:tblPrEx>
        <w:trPr>
          <w:trHeight w:val="567" w:hRule="exact"/>
          <w:jc w:val="center"/>
        </w:trPr>
        <w:tc>
          <w:tcPr>
            <w:tcW w:w="4201" w:type="dxa"/>
            <w:noWrap w:val="0"/>
            <w:vAlign w:val="center"/>
          </w:tcPr>
          <w:p w14:paraId="62A19121">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c>
          <w:tcPr>
            <w:tcW w:w="4202" w:type="dxa"/>
            <w:noWrap w:val="0"/>
            <w:vAlign w:val="center"/>
          </w:tcPr>
          <w:p w14:paraId="280DA8C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r>
      <w:tr w14:paraId="479507CB">
        <w:tblPrEx>
          <w:tblCellMar>
            <w:top w:w="0" w:type="dxa"/>
            <w:left w:w="108" w:type="dxa"/>
            <w:bottom w:w="0" w:type="dxa"/>
            <w:right w:w="108" w:type="dxa"/>
          </w:tblCellMar>
        </w:tblPrEx>
        <w:trPr>
          <w:trHeight w:val="567" w:hRule="exact"/>
          <w:jc w:val="center"/>
        </w:trPr>
        <w:tc>
          <w:tcPr>
            <w:tcW w:w="4201" w:type="dxa"/>
            <w:noWrap w:val="0"/>
            <w:vAlign w:val="center"/>
          </w:tcPr>
          <w:p w14:paraId="5C86B54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法定代表人： </w:t>
            </w:r>
          </w:p>
        </w:tc>
        <w:tc>
          <w:tcPr>
            <w:tcW w:w="4202" w:type="dxa"/>
            <w:noWrap w:val="0"/>
            <w:vAlign w:val="center"/>
          </w:tcPr>
          <w:p w14:paraId="2B686AD0">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法定代表人：</w:t>
            </w:r>
          </w:p>
        </w:tc>
      </w:tr>
      <w:tr w14:paraId="3060D77D">
        <w:tblPrEx>
          <w:tblCellMar>
            <w:top w:w="0" w:type="dxa"/>
            <w:left w:w="108" w:type="dxa"/>
            <w:bottom w:w="0" w:type="dxa"/>
            <w:right w:w="108" w:type="dxa"/>
          </w:tblCellMar>
        </w:tblPrEx>
        <w:trPr>
          <w:trHeight w:val="567" w:hRule="exact"/>
          <w:jc w:val="center"/>
        </w:trPr>
        <w:tc>
          <w:tcPr>
            <w:tcW w:w="4201" w:type="dxa"/>
            <w:noWrap w:val="0"/>
            <w:vAlign w:val="center"/>
          </w:tcPr>
          <w:p w14:paraId="16FD4D5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lang w:val="en-US" w:eastAsia="zh-CN"/>
              </w:rPr>
              <w:t>或</w:t>
            </w:r>
            <w:r>
              <w:rPr>
                <w:rFonts w:hint="eastAsia" w:ascii="仿宋_GB2312" w:hAnsi="仿宋_GB2312" w:eastAsia="仿宋_GB2312" w:cs="仿宋_GB2312"/>
                <w:spacing w:val="-20"/>
                <w:sz w:val="28"/>
                <w:szCs w:val="28"/>
              </w:rPr>
              <w:t>被授权代表：</w:t>
            </w:r>
          </w:p>
        </w:tc>
        <w:tc>
          <w:tcPr>
            <w:tcW w:w="4202" w:type="dxa"/>
            <w:noWrap w:val="0"/>
            <w:vAlign w:val="center"/>
          </w:tcPr>
          <w:p w14:paraId="00BE403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lang w:val="en-US" w:eastAsia="zh-CN"/>
              </w:rPr>
              <w:t>或</w:t>
            </w:r>
            <w:r>
              <w:rPr>
                <w:rFonts w:hint="eastAsia" w:ascii="仿宋_GB2312" w:hAnsi="仿宋_GB2312" w:eastAsia="仿宋_GB2312" w:cs="仿宋_GB2312"/>
                <w:spacing w:val="-20"/>
                <w:sz w:val="28"/>
                <w:szCs w:val="28"/>
              </w:rPr>
              <w:t>被授权代表：</w:t>
            </w:r>
          </w:p>
        </w:tc>
      </w:tr>
      <w:tr w14:paraId="0F9B1425">
        <w:tblPrEx>
          <w:tblCellMar>
            <w:top w:w="0" w:type="dxa"/>
            <w:left w:w="108" w:type="dxa"/>
            <w:bottom w:w="0" w:type="dxa"/>
            <w:right w:w="108" w:type="dxa"/>
          </w:tblCellMar>
        </w:tblPrEx>
        <w:trPr>
          <w:trHeight w:val="567" w:hRule="exact"/>
          <w:jc w:val="center"/>
        </w:trPr>
        <w:tc>
          <w:tcPr>
            <w:tcW w:w="4201" w:type="dxa"/>
            <w:noWrap w:val="0"/>
            <w:vAlign w:val="center"/>
          </w:tcPr>
          <w:p w14:paraId="0C433912">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c>
          <w:tcPr>
            <w:tcW w:w="4202" w:type="dxa"/>
            <w:noWrap w:val="0"/>
            <w:vAlign w:val="center"/>
          </w:tcPr>
          <w:p w14:paraId="381ED113">
            <w:pPr>
              <w:ind w:left="720" w:hanging="720" w:hangingChars="3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r>
      <w:tr w14:paraId="4921C625">
        <w:tblPrEx>
          <w:tblCellMar>
            <w:top w:w="0" w:type="dxa"/>
            <w:left w:w="108" w:type="dxa"/>
            <w:bottom w:w="0" w:type="dxa"/>
            <w:right w:w="108" w:type="dxa"/>
          </w:tblCellMar>
        </w:tblPrEx>
        <w:trPr>
          <w:trHeight w:val="567" w:hRule="exact"/>
          <w:jc w:val="center"/>
        </w:trPr>
        <w:tc>
          <w:tcPr>
            <w:tcW w:w="4201" w:type="dxa"/>
            <w:noWrap w:val="0"/>
            <w:vAlign w:val="center"/>
          </w:tcPr>
          <w:p w14:paraId="3CA299B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c>
          <w:tcPr>
            <w:tcW w:w="4202" w:type="dxa"/>
            <w:noWrap w:val="0"/>
            <w:vAlign w:val="center"/>
          </w:tcPr>
          <w:p w14:paraId="28B6A22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r>
      <w:tr w14:paraId="1D467A8A">
        <w:tblPrEx>
          <w:tblCellMar>
            <w:top w:w="0" w:type="dxa"/>
            <w:left w:w="108" w:type="dxa"/>
            <w:bottom w:w="0" w:type="dxa"/>
            <w:right w:w="108" w:type="dxa"/>
          </w:tblCellMar>
        </w:tblPrEx>
        <w:trPr>
          <w:trHeight w:val="567" w:hRule="exact"/>
          <w:jc w:val="center"/>
        </w:trPr>
        <w:tc>
          <w:tcPr>
            <w:tcW w:w="4201" w:type="dxa"/>
            <w:noWrap w:val="0"/>
            <w:vAlign w:val="center"/>
          </w:tcPr>
          <w:p w14:paraId="32092AEA">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c>
          <w:tcPr>
            <w:tcW w:w="4202" w:type="dxa"/>
            <w:noWrap w:val="0"/>
            <w:vAlign w:val="center"/>
          </w:tcPr>
          <w:p w14:paraId="48B74B7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r>
      <w:tr w14:paraId="2E0F058F">
        <w:tblPrEx>
          <w:tblCellMar>
            <w:top w:w="0" w:type="dxa"/>
            <w:left w:w="108" w:type="dxa"/>
            <w:bottom w:w="0" w:type="dxa"/>
            <w:right w:w="108" w:type="dxa"/>
          </w:tblCellMar>
        </w:tblPrEx>
        <w:trPr>
          <w:trHeight w:val="567" w:hRule="exact"/>
          <w:jc w:val="center"/>
        </w:trPr>
        <w:tc>
          <w:tcPr>
            <w:tcW w:w="4201" w:type="dxa"/>
            <w:noWrap w:val="0"/>
            <w:vAlign w:val="center"/>
          </w:tcPr>
          <w:p w14:paraId="1BF2D78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c>
          <w:tcPr>
            <w:tcW w:w="4202" w:type="dxa"/>
            <w:noWrap w:val="0"/>
            <w:vAlign w:val="center"/>
          </w:tcPr>
          <w:p w14:paraId="4693EE1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r>
    </w:tbl>
    <w:p w14:paraId="0A1F7C6F"/>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EE40590-4C89-449E-9203-23E6490CD99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E54DA538-4ABE-4ECC-A9C8-73CBBAF7E1A3}"/>
  </w:font>
  <w:font w:name="仿宋_GB2312">
    <w:panose1 w:val="02010609030101010101"/>
    <w:charset w:val="86"/>
    <w:family w:val="modern"/>
    <w:pitch w:val="default"/>
    <w:sig w:usb0="00000001" w:usb1="080E0000" w:usb2="00000000" w:usb3="00000000" w:csb0="00040000" w:csb1="00000000"/>
    <w:embedRegular r:id="rId3" w:fontKey="{7AC31837-5756-4101-9E46-9D0762572AB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8940266"/>
    <w:rsid w:val="192A37C4"/>
    <w:rsid w:val="198577DD"/>
    <w:rsid w:val="19966094"/>
    <w:rsid w:val="1CA80820"/>
    <w:rsid w:val="1D6E70FD"/>
    <w:rsid w:val="1E6D5F03"/>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40D542D2"/>
    <w:rsid w:val="412A6A1E"/>
    <w:rsid w:val="414032D5"/>
    <w:rsid w:val="45FB0DB9"/>
    <w:rsid w:val="467E02E4"/>
    <w:rsid w:val="4EC118A7"/>
    <w:rsid w:val="4F1C52C5"/>
    <w:rsid w:val="4FDA2485"/>
    <w:rsid w:val="528C1FD1"/>
    <w:rsid w:val="54F63A8A"/>
    <w:rsid w:val="57DF2953"/>
    <w:rsid w:val="5ABC66E5"/>
    <w:rsid w:val="5C7E1FD1"/>
    <w:rsid w:val="5D3B49BA"/>
    <w:rsid w:val="60E414E6"/>
    <w:rsid w:val="61E5759F"/>
    <w:rsid w:val="64A137DB"/>
    <w:rsid w:val="67493010"/>
    <w:rsid w:val="696F3399"/>
    <w:rsid w:val="734E36BE"/>
    <w:rsid w:val="741C09D0"/>
    <w:rsid w:val="74343D24"/>
    <w:rsid w:val="764F97C9"/>
    <w:rsid w:val="78C53AE4"/>
    <w:rsid w:val="7EB51055"/>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2156</Words>
  <Characters>2169</Characters>
  <Lines>12</Lines>
  <Paragraphs>3</Paragraphs>
  <TotalTime>0</TotalTime>
  <ScaleCrop>false</ScaleCrop>
  <LinksUpToDate>false</LinksUpToDate>
  <CharactersWithSpaces>2260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2026-07-16T06:45:13Z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