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208D5">
      <w:pPr>
        <w:jc w:val="center"/>
        <w:rPr>
          <w:rFonts w:hint="eastAsia" w:ascii="仿宋_GB2312" w:hAnsi="仿宋_GB2312" w:eastAsia="仿宋_GB2312" w:cs="仿宋_GB2312"/>
          <w:b/>
          <w:bCs/>
          <w:sz w:val="40"/>
          <w:szCs w:val="40"/>
          <w:lang w:val="zh-CN" w:eastAsia="zh-CN"/>
        </w:rPr>
      </w:pPr>
      <w:r>
        <w:rPr>
          <w:rFonts w:hint="eastAsia" w:ascii="仿宋_GB2312" w:hAnsi="仿宋_GB2312" w:eastAsia="仿宋_GB2312" w:cs="仿宋_GB2312"/>
          <w:b/>
          <w:bCs/>
          <w:sz w:val="40"/>
          <w:szCs w:val="40"/>
          <w:lang w:val="en-US" w:eastAsia="zh-CN"/>
        </w:rPr>
        <w:t>费用组成明细表</w:t>
      </w:r>
    </w:p>
    <w:p w14:paraId="2C8147F8">
      <w:pPr>
        <w:widowControl w:val="0"/>
        <w:snapToGrid w:val="0"/>
        <w:jc w:val="center"/>
        <w:rPr>
          <w:rFonts w:hint="eastAsia" w:ascii="仿宋_GB2312" w:hAnsi="宋体" w:eastAsia="仿宋_GB2312" w:cs="Times New Roman"/>
          <w:kern w:val="2"/>
          <w:sz w:val="28"/>
          <w:szCs w:val="28"/>
          <w:lang w:val="en-US" w:eastAsia="zh-CN" w:bidi="ar-SA"/>
        </w:rPr>
      </w:pPr>
    </w:p>
    <w:tbl>
      <w:tblPr>
        <w:tblStyle w:val="5"/>
        <w:tblW w:w="5286" w:type="pct"/>
        <w:tblInd w:w="-2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783"/>
        <w:gridCol w:w="778"/>
        <w:gridCol w:w="1426"/>
        <w:gridCol w:w="2091"/>
        <w:gridCol w:w="1022"/>
        <w:gridCol w:w="1284"/>
        <w:gridCol w:w="1480"/>
        <w:gridCol w:w="759"/>
      </w:tblGrid>
      <w:tr w14:paraId="59250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40" w:hRule="exact"/>
        </w:trPr>
        <w:tc>
          <w:tcPr>
            <w:tcW w:w="407" w:type="pct"/>
            <w:noWrap w:val="0"/>
            <w:vAlign w:val="center"/>
          </w:tcPr>
          <w:p w14:paraId="08DF87DC">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序号</w:t>
            </w:r>
          </w:p>
        </w:tc>
        <w:tc>
          <w:tcPr>
            <w:tcW w:w="404" w:type="pct"/>
            <w:noWrap w:val="0"/>
            <w:vAlign w:val="center"/>
          </w:tcPr>
          <w:p w14:paraId="4BAF51EF">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类别</w:t>
            </w:r>
          </w:p>
        </w:tc>
        <w:tc>
          <w:tcPr>
            <w:tcW w:w="741" w:type="pct"/>
            <w:noWrap w:val="0"/>
            <w:vAlign w:val="center"/>
          </w:tcPr>
          <w:p w14:paraId="5A318808">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项目名称</w:t>
            </w:r>
          </w:p>
        </w:tc>
        <w:tc>
          <w:tcPr>
            <w:tcW w:w="1085" w:type="pct"/>
            <w:noWrap w:val="0"/>
            <w:vAlign w:val="center"/>
          </w:tcPr>
          <w:p w14:paraId="41C2B604">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项目内容</w:t>
            </w:r>
          </w:p>
        </w:tc>
        <w:tc>
          <w:tcPr>
            <w:tcW w:w="531" w:type="pct"/>
            <w:noWrap w:val="0"/>
            <w:vAlign w:val="center"/>
          </w:tcPr>
          <w:p w14:paraId="697FDFE6">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计量</w:t>
            </w:r>
          </w:p>
          <w:p w14:paraId="2CA97ED7">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单位</w:t>
            </w:r>
          </w:p>
        </w:tc>
        <w:tc>
          <w:tcPr>
            <w:tcW w:w="667" w:type="pct"/>
            <w:noWrap w:val="0"/>
            <w:vAlign w:val="center"/>
          </w:tcPr>
          <w:p w14:paraId="299E7E72">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预估</w:t>
            </w:r>
          </w:p>
          <w:p w14:paraId="2FC17A66">
            <w:pPr>
              <w:keepNext w:val="0"/>
              <w:keepLines w:val="0"/>
              <w:widowControl/>
              <w:suppressLineNumbers w:val="0"/>
              <w:jc w:val="center"/>
              <w:textAlignment w:val="center"/>
              <w:rPr>
                <w:rFonts w:hint="eastAsia" w:ascii="仿宋_GB2312" w:hAnsi="仿宋_GB2312" w:eastAsia="仿宋_GB2312" w:cs="仿宋_GB2312"/>
                <w:b/>
                <w:bCs/>
                <w:i w:val="0"/>
                <w:color w:val="000000"/>
                <w:sz w:val="28"/>
                <w:szCs w:val="28"/>
                <w:u w:val="none"/>
              </w:rPr>
            </w:pPr>
            <w:r>
              <w:rPr>
                <w:rFonts w:hint="eastAsia" w:ascii="仿宋_GB2312" w:hAnsi="仿宋_GB2312" w:eastAsia="仿宋_GB2312" w:cs="仿宋_GB2312"/>
                <w:b/>
                <w:bCs/>
                <w:i w:val="0"/>
                <w:color w:val="000000"/>
                <w:kern w:val="0"/>
                <w:sz w:val="28"/>
                <w:szCs w:val="28"/>
                <w:u w:val="none"/>
                <w:lang w:val="en-US" w:eastAsia="zh-CN" w:bidi="ar-SA"/>
              </w:rPr>
              <w:t>工程量</w:t>
            </w:r>
          </w:p>
        </w:tc>
        <w:tc>
          <w:tcPr>
            <w:tcW w:w="769" w:type="pct"/>
            <w:noWrap w:val="0"/>
            <w:vAlign w:val="center"/>
          </w:tcPr>
          <w:p w14:paraId="4A8F2D9B">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全费用</w:t>
            </w:r>
          </w:p>
          <w:p w14:paraId="12F2DB18">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综合单价</w:t>
            </w:r>
          </w:p>
          <w:p w14:paraId="35A134AA">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（元）</w:t>
            </w:r>
          </w:p>
        </w:tc>
        <w:tc>
          <w:tcPr>
            <w:tcW w:w="393" w:type="pct"/>
            <w:noWrap w:val="0"/>
            <w:vAlign w:val="center"/>
          </w:tcPr>
          <w:p w14:paraId="29DC8E69">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8"/>
                <w:szCs w:val="28"/>
                <w:u w:val="none"/>
                <w:lang w:val="en-US" w:eastAsia="zh-CN" w:bidi="ar-SA"/>
              </w:rPr>
            </w:pPr>
            <w:r>
              <w:rPr>
                <w:rFonts w:hint="eastAsia" w:ascii="仿宋_GB2312" w:hAnsi="仿宋_GB2312" w:eastAsia="仿宋_GB2312" w:cs="仿宋_GB2312"/>
                <w:b/>
                <w:bCs/>
                <w:i w:val="0"/>
                <w:color w:val="000000"/>
                <w:kern w:val="0"/>
                <w:sz w:val="28"/>
                <w:szCs w:val="28"/>
                <w:u w:val="none"/>
                <w:lang w:val="en-US" w:eastAsia="zh-CN" w:bidi="ar-SA"/>
              </w:rPr>
              <w:t>备注</w:t>
            </w:r>
          </w:p>
        </w:tc>
      </w:tr>
      <w:tr w14:paraId="5934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15" w:hRule="exact"/>
        </w:trPr>
        <w:tc>
          <w:tcPr>
            <w:tcW w:w="407" w:type="pct"/>
            <w:noWrap w:val="0"/>
            <w:vAlign w:val="center"/>
          </w:tcPr>
          <w:p w14:paraId="2394231A">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SA"/>
              </w:rPr>
              <w:t>1</w:t>
            </w:r>
          </w:p>
        </w:tc>
        <w:tc>
          <w:tcPr>
            <w:tcW w:w="404" w:type="pct"/>
            <w:noWrap w:val="0"/>
            <w:vAlign w:val="center"/>
          </w:tcPr>
          <w:p w14:paraId="7EAD1EFD">
            <w:pPr>
              <w:keepNext w:val="0"/>
              <w:keepLines w:val="0"/>
              <w:widowControl/>
              <w:suppressLineNumbers w:val="0"/>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SA"/>
              </w:rPr>
              <w:t>道路检测</w:t>
            </w:r>
          </w:p>
        </w:tc>
        <w:tc>
          <w:tcPr>
            <w:tcW w:w="741" w:type="pct"/>
            <w:noWrap w:val="0"/>
            <w:vAlign w:val="center"/>
          </w:tcPr>
          <w:p w14:paraId="0CCFE0D2">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高新区道路检测</w:t>
            </w:r>
          </w:p>
        </w:tc>
        <w:tc>
          <w:tcPr>
            <w:tcW w:w="1085" w:type="pct"/>
            <w:noWrap w:val="0"/>
            <w:vAlign w:val="center"/>
          </w:tcPr>
          <w:p w14:paraId="2DC10AF8">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每车道每1km的道路进行道路弯沉值、平整度、密实度等方面的检测</w:t>
            </w:r>
          </w:p>
        </w:tc>
        <w:tc>
          <w:tcPr>
            <w:tcW w:w="531" w:type="pct"/>
            <w:noWrap w:val="0"/>
            <w:vAlign w:val="center"/>
          </w:tcPr>
          <w:p w14:paraId="22FBEC17">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km</w:t>
            </w:r>
          </w:p>
        </w:tc>
        <w:tc>
          <w:tcPr>
            <w:tcW w:w="667" w:type="pct"/>
            <w:noWrap w:val="0"/>
            <w:vAlign w:val="center"/>
          </w:tcPr>
          <w:p w14:paraId="647E2C3C">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2"/>
                <w:sz w:val="28"/>
                <w:szCs w:val="28"/>
                <w:u w:val="none"/>
                <w:lang w:val="en-US" w:eastAsia="zh-CN" w:bidi="ar-SA"/>
              </w:rPr>
              <w:t>240</w:t>
            </w:r>
          </w:p>
        </w:tc>
        <w:tc>
          <w:tcPr>
            <w:tcW w:w="769" w:type="pct"/>
            <w:noWrap w:val="0"/>
            <w:vAlign w:val="center"/>
          </w:tcPr>
          <w:p w14:paraId="73C7DAE9">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p>
        </w:tc>
        <w:tc>
          <w:tcPr>
            <w:tcW w:w="393" w:type="pct"/>
            <w:noWrap w:val="0"/>
            <w:vAlign w:val="center"/>
          </w:tcPr>
          <w:p w14:paraId="72863F55">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p>
        </w:tc>
      </w:tr>
      <w:tr w14:paraId="210E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87" w:hRule="exact"/>
        </w:trPr>
        <w:tc>
          <w:tcPr>
            <w:tcW w:w="407" w:type="pct"/>
            <w:noWrap w:val="0"/>
            <w:vAlign w:val="center"/>
          </w:tcPr>
          <w:p w14:paraId="353F81B8">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SA"/>
              </w:rPr>
              <w:t>2</w:t>
            </w:r>
          </w:p>
        </w:tc>
        <w:tc>
          <w:tcPr>
            <w:tcW w:w="404" w:type="pct"/>
            <w:vMerge w:val="restart"/>
            <w:noWrap w:val="0"/>
            <w:vAlign w:val="center"/>
          </w:tcPr>
          <w:p w14:paraId="5947BFF0">
            <w:pPr>
              <w:jc w:val="center"/>
              <w:rPr>
                <w:rFonts w:hint="eastAsia" w:ascii="仿宋_GB2312" w:hAnsi="仿宋_GB2312" w:eastAsia="仿宋_GB2312" w:cs="仿宋_GB2312"/>
                <w:b/>
                <w:i w:val="0"/>
                <w:color w:val="000000"/>
                <w:sz w:val="28"/>
                <w:szCs w:val="28"/>
                <w:u w:val="none"/>
                <w:lang w:eastAsia="zh-CN"/>
              </w:rPr>
            </w:pPr>
            <w:r>
              <w:rPr>
                <w:rFonts w:hint="eastAsia" w:ascii="仿宋_GB2312" w:hAnsi="仿宋_GB2312" w:eastAsia="仿宋_GB2312" w:cs="仿宋_GB2312"/>
                <w:b/>
                <w:i w:val="0"/>
                <w:color w:val="000000"/>
                <w:sz w:val="28"/>
                <w:szCs w:val="28"/>
                <w:u w:val="none"/>
                <w:lang w:eastAsia="zh-CN"/>
              </w:rPr>
              <w:t>桥梁检测</w:t>
            </w:r>
          </w:p>
        </w:tc>
        <w:tc>
          <w:tcPr>
            <w:tcW w:w="741" w:type="pct"/>
            <w:noWrap w:val="0"/>
            <w:vAlign w:val="center"/>
          </w:tcPr>
          <w:p w14:paraId="4F8CE65F">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高新区立交桥检测</w:t>
            </w:r>
          </w:p>
        </w:tc>
        <w:tc>
          <w:tcPr>
            <w:tcW w:w="1085" w:type="pct"/>
            <w:noWrap w:val="0"/>
            <w:vAlign w:val="center"/>
          </w:tcPr>
          <w:p w14:paraId="293D40CE">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对桥梁的桥面系、上部结构和下部结构进行年度例行检测</w:t>
            </w:r>
          </w:p>
        </w:tc>
        <w:tc>
          <w:tcPr>
            <w:tcW w:w="531" w:type="pct"/>
            <w:noWrap w:val="0"/>
            <w:vAlign w:val="center"/>
          </w:tcPr>
          <w:p w14:paraId="09E80361">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座</w:t>
            </w:r>
          </w:p>
        </w:tc>
        <w:tc>
          <w:tcPr>
            <w:tcW w:w="667" w:type="pct"/>
            <w:noWrap w:val="0"/>
            <w:vAlign w:val="center"/>
          </w:tcPr>
          <w:p w14:paraId="67849A10">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2</w:t>
            </w:r>
          </w:p>
        </w:tc>
        <w:tc>
          <w:tcPr>
            <w:tcW w:w="769" w:type="pct"/>
            <w:noWrap w:val="0"/>
            <w:vAlign w:val="center"/>
          </w:tcPr>
          <w:p w14:paraId="53611D43">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c>
          <w:tcPr>
            <w:tcW w:w="393" w:type="pct"/>
            <w:noWrap w:val="0"/>
            <w:vAlign w:val="center"/>
          </w:tcPr>
          <w:p w14:paraId="7BB268E2">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r>
      <w:tr w14:paraId="0923F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91" w:hRule="exact"/>
        </w:trPr>
        <w:tc>
          <w:tcPr>
            <w:tcW w:w="407" w:type="pct"/>
            <w:noWrap w:val="0"/>
            <w:vAlign w:val="center"/>
          </w:tcPr>
          <w:p w14:paraId="1DEA6DC4">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SA"/>
              </w:rPr>
              <w:t>3</w:t>
            </w:r>
          </w:p>
        </w:tc>
        <w:tc>
          <w:tcPr>
            <w:tcW w:w="404" w:type="pct"/>
            <w:vMerge w:val="continue"/>
            <w:noWrap w:val="0"/>
            <w:vAlign w:val="center"/>
          </w:tcPr>
          <w:p w14:paraId="2AD67F8D">
            <w:pPr>
              <w:jc w:val="center"/>
              <w:rPr>
                <w:rFonts w:hint="eastAsia" w:ascii="仿宋_GB2312" w:hAnsi="仿宋_GB2312" w:eastAsia="仿宋_GB2312" w:cs="仿宋_GB2312"/>
                <w:b/>
                <w:i w:val="0"/>
                <w:color w:val="000000"/>
                <w:sz w:val="28"/>
                <w:szCs w:val="28"/>
                <w:u w:val="none"/>
              </w:rPr>
            </w:pPr>
          </w:p>
        </w:tc>
        <w:tc>
          <w:tcPr>
            <w:tcW w:w="741" w:type="pct"/>
            <w:noWrap w:val="0"/>
            <w:vAlign w:val="center"/>
          </w:tcPr>
          <w:p w14:paraId="31B7F8D0">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高新区跨线桥检测</w:t>
            </w:r>
          </w:p>
        </w:tc>
        <w:tc>
          <w:tcPr>
            <w:tcW w:w="1085" w:type="pct"/>
            <w:noWrap w:val="0"/>
            <w:vAlign w:val="center"/>
          </w:tcPr>
          <w:p w14:paraId="58068C86">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对桥梁的桥面系、上部结构和下部结构进行年度例行检测</w:t>
            </w:r>
          </w:p>
        </w:tc>
        <w:tc>
          <w:tcPr>
            <w:tcW w:w="531" w:type="pct"/>
            <w:noWrap w:val="0"/>
            <w:vAlign w:val="center"/>
          </w:tcPr>
          <w:p w14:paraId="636B8FA1">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座</w:t>
            </w:r>
          </w:p>
        </w:tc>
        <w:tc>
          <w:tcPr>
            <w:tcW w:w="667" w:type="pct"/>
            <w:noWrap w:val="0"/>
            <w:vAlign w:val="center"/>
          </w:tcPr>
          <w:p w14:paraId="360A5893">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5</w:t>
            </w:r>
          </w:p>
        </w:tc>
        <w:tc>
          <w:tcPr>
            <w:tcW w:w="769" w:type="pct"/>
            <w:noWrap w:val="0"/>
            <w:vAlign w:val="center"/>
          </w:tcPr>
          <w:p w14:paraId="2A87CAA8">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c>
          <w:tcPr>
            <w:tcW w:w="393" w:type="pct"/>
            <w:noWrap w:val="0"/>
            <w:vAlign w:val="center"/>
          </w:tcPr>
          <w:p w14:paraId="7F9B6E8E">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r>
      <w:tr w14:paraId="2DBF7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604" w:hRule="exact"/>
        </w:trPr>
        <w:tc>
          <w:tcPr>
            <w:tcW w:w="407" w:type="pct"/>
            <w:noWrap w:val="0"/>
            <w:vAlign w:val="center"/>
          </w:tcPr>
          <w:p w14:paraId="373411BD">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SA"/>
              </w:rPr>
              <w:t>4</w:t>
            </w:r>
          </w:p>
        </w:tc>
        <w:tc>
          <w:tcPr>
            <w:tcW w:w="404" w:type="pct"/>
            <w:vMerge w:val="continue"/>
            <w:noWrap w:val="0"/>
            <w:vAlign w:val="center"/>
          </w:tcPr>
          <w:p w14:paraId="74A10954">
            <w:pPr>
              <w:jc w:val="center"/>
              <w:rPr>
                <w:rFonts w:hint="eastAsia" w:ascii="仿宋_GB2312" w:hAnsi="仿宋_GB2312" w:eastAsia="仿宋_GB2312" w:cs="仿宋_GB2312"/>
                <w:b/>
                <w:i w:val="0"/>
                <w:color w:val="000000"/>
                <w:sz w:val="28"/>
                <w:szCs w:val="28"/>
                <w:u w:val="none"/>
              </w:rPr>
            </w:pPr>
          </w:p>
        </w:tc>
        <w:tc>
          <w:tcPr>
            <w:tcW w:w="741" w:type="pct"/>
            <w:noWrap w:val="0"/>
            <w:vAlign w:val="center"/>
          </w:tcPr>
          <w:p w14:paraId="5A544CF8">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高新区人行天桥检测</w:t>
            </w:r>
          </w:p>
        </w:tc>
        <w:tc>
          <w:tcPr>
            <w:tcW w:w="1085" w:type="pct"/>
            <w:noWrap w:val="0"/>
            <w:vAlign w:val="center"/>
          </w:tcPr>
          <w:p w14:paraId="0F410576">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对桥梁的桥面系、上部结构和下部结构进行年度例行检测</w:t>
            </w:r>
          </w:p>
        </w:tc>
        <w:tc>
          <w:tcPr>
            <w:tcW w:w="531" w:type="pct"/>
            <w:noWrap w:val="0"/>
            <w:vAlign w:val="center"/>
          </w:tcPr>
          <w:p w14:paraId="6E59D797">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座</w:t>
            </w:r>
          </w:p>
        </w:tc>
        <w:tc>
          <w:tcPr>
            <w:tcW w:w="667" w:type="pct"/>
            <w:noWrap w:val="0"/>
            <w:vAlign w:val="center"/>
          </w:tcPr>
          <w:p w14:paraId="0D7D24D8">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2</w:t>
            </w:r>
          </w:p>
        </w:tc>
        <w:tc>
          <w:tcPr>
            <w:tcW w:w="769" w:type="pct"/>
            <w:noWrap w:val="0"/>
            <w:vAlign w:val="center"/>
          </w:tcPr>
          <w:p w14:paraId="13122712">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c>
          <w:tcPr>
            <w:tcW w:w="393" w:type="pct"/>
            <w:noWrap w:val="0"/>
            <w:vAlign w:val="center"/>
          </w:tcPr>
          <w:p w14:paraId="4B67A17B">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p>
        </w:tc>
      </w:tr>
      <w:tr w14:paraId="07357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497" w:hRule="exact"/>
        </w:trPr>
        <w:tc>
          <w:tcPr>
            <w:tcW w:w="407" w:type="pct"/>
            <w:noWrap w:val="0"/>
            <w:vAlign w:val="center"/>
          </w:tcPr>
          <w:p w14:paraId="53BFEB72">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5</w:t>
            </w:r>
          </w:p>
        </w:tc>
        <w:tc>
          <w:tcPr>
            <w:tcW w:w="404" w:type="pct"/>
            <w:vMerge w:val="continue"/>
            <w:noWrap w:val="0"/>
            <w:vAlign w:val="center"/>
          </w:tcPr>
          <w:p w14:paraId="49B016B0">
            <w:pPr>
              <w:keepNext w:val="0"/>
              <w:keepLines w:val="0"/>
              <w:widowControl/>
              <w:suppressLineNumbers w:val="0"/>
              <w:jc w:val="center"/>
              <w:textAlignment w:val="center"/>
              <w:rPr>
                <w:rFonts w:hint="eastAsia" w:ascii="仿宋_GB2312" w:hAnsi="仿宋_GB2312" w:eastAsia="仿宋_GB2312" w:cs="仿宋_GB2312"/>
                <w:b/>
                <w:i w:val="0"/>
                <w:color w:val="000000"/>
                <w:kern w:val="2"/>
                <w:sz w:val="28"/>
                <w:szCs w:val="28"/>
                <w:u w:val="none"/>
                <w:lang w:val="en-US" w:eastAsia="zh-CN" w:bidi="ar-SA"/>
              </w:rPr>
            </w:pPr>
          </w:p>
        </w:tc>
        <w:tc>
          <w:tcPr>
            <w:tcW w:w="741" w:type="pct"/>
            <w:noWrap w:val="0"/>
            <w:vAlign w:val="center"/>
          </w:tcPr>
          <w:p w14:paraId="3307FBC8">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高新区跨河桥检测</w:t>
            </w:r>
          </w:p>
        </w:tc>
        <w:tc>
          <w:tcPr>
            <w:tcW w:w="1085" w:type="pct"/>
            <w:noWrap w:val="0"/>
            <w:vAlign w:val="center"/>
          </w:tcPr>
          <w:p w14:paraId="4B946E19">
            <w:pPr>
              <w:keepNext w:val="0"/>
              <w:keepLines w:val="0"/>
              <w:widowControl/>
              <w:suppressLineNumbers w:val="0"/>
              <w:jc w:val="center"/>
              <w:textAlignment w:val="center"/>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对桥梁的桥面系、上部结构和下部结构进行年度例行检测</w:t>
            </w:r>
          </w:p>
        </w:tc>
        <w:tc>
          <w:tcPr>
            <w:tcW w:w="531" w:type="pct"/>
            <w:noWrap w:val="0"/>
            <w:vAlign w:val="center"/>
          </w:tcPr>
          <w:p w14:paraId="0281BA8E">
            <w:pPr>
              <w:keepNext w:val="0"/>
              <w:keepLines w:val="0"/>
              <w:widowControl/>
              <w:suppressLineNumbers w:val="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座</w:t>
            </w:r>
          </w:p>
        </w:tc>
        <w:tc>
          <w:tcPr>
            <w:tcW w:w="667" w:type="pct"/>
            <w:noWrap w:val="0"/>
            <w:vAlign w:val="center"/>
          </w:tcPr>
          <w:p w14:paraId="664D59EA">
            <w:pPr>
              <w:keepNext w:val="0"/>
              <w:keepLines w:val="0"/>
              <w:widowControl/>
              <w:suppressLineNumbers w:val="0"/>
              <w:jc w:val="center"/>
              <w:textAlignment w:val="bottom"/>
              <w:rPr>
                <w:rFonts w:hint="eastAsia" w:ascii="仿宋_GB2312" w:hAnsi="仿宋_GB2312" w:eastAsia="仿宋_GB2312" w:cs="仿宋_GB2312"/>
                <w:i w:val="0"/>
                <w:color w:val="000000"/>
                <w:kern w:val="2"/>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2</w:t>
            </w:r>
          </w:p>
        </w:tc>
        <w:tc>
          <w:tcPr>
            <w:tcW w:w="769" w:type="pct"/>
            <w:noWrap w:val="0"/>
            <w:vAlign w:val="center"/>
          </w:tcPr>
          <w:p w14:paraId="5462E5AD">
            <w:pPr>
              <w:keepNext w:val="0"/>
              <w:keepLines w:val="0"/>
              <w:widowControl/>
              <w:suppressLineNumbers w:val="0"/>
              <w:jc w:val="center"/>
              <w:textAlignment w:val="bottom"/>
              <w:rPr>
                <w:rFonts w:hint="eastAsia" w:ascii="仿宋_GB2312" w:hAnsi="仿宋_GB2312" w:eastAsia="仿宋_GB2312" w:cs="仿宋_GB2312"/>
                <w:i w:val="0"/>
                <w:color w:val="000000"/>
                <w:kern w:val="0"/>
                <w:sz w:val="28"/>
                <w:szCs w:val="28"/>
                <w:u w:val="none"/>
                <w:lang w:val="en-US" w:eastAsia="zh-CN" w:bidi="ar-SA"/>
              </w:rPr>
            </w:pPr>
          </w:p>
        </w:tc>
        <w:tc>
          <w:tcPr>
            <w:tcW w:w="393" w:type="pct"/>
            <w:noWrap w:val="0"/>
            <w:vAlign w:val="center"/>
          </w:tcPr>
          <w:p w14:paraId="5EA2CB3E">
            <w:pPr>
              <w:keepNext w:val="0"/>
              <w:keepLines w:val="0"/>
              <w:widowControl/>
              <w:suppressLineNumbers w:val="0"/>
              <w:jc w:val="center"/>
              <w:textAlignment w:val="bottom"/>
              <w:rPr>
                <w:rFonts w:hint="eastAsia" w:ascii="仿宋_GB2312" w:hAnsi="仿宋_GB2312" w:eastAsia="仿宋_GB2312" w:cs="仿宋_GB2312"/>
                <w:i w:val="0"/>
                <w:color w:val="000000"/>
                <w:kern w:val="0"/>
                <w:sz w:val="28"/>
                <w:szCs w:val="28"/>
                <w:u w:val="none"/>
                <w:lang w:val="en-US" w:eastAsia="zh-CN" w:bidi="ar-SA"/>
              </w:rPr>
            </w:pPr>
          </w:p>
        </w:tc>
      </w:tr>
      <w:tr w14:paraId="4D79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798" w:hRule="exact"/>
        </w:trPr>
        <w:tc>
          <w:tcPr>
            <w:tcW w:w="407" w:type="pct"/>
            <w:noWrap w:val="0"/>
            <w:vAlign w:val="center"/>
          </w:tcPr>
          <w:p w14:paraId="2A48020A">
            <w:pPr>
              <w:keepNext w:val="0"/>
              <w:keepLines w:val="0"/>
              <w:widowControl/>
              <w:suppressLineNumbers w:val="0"/>
              <w:jc w:val="center"/>
              <w:textAlignment w:val="center"/>
              <w:rPr>
                <w:rFonts w:hint="default"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6</w:t>
            </w:r>
          </w:p>
        </w:tc>
        <w:tc>
          <w:tcPr>
            <w:tcW w:w="404" w:type="pct"/>
            <w:vMerge w:val="continue"/>
            <w:noWrap w:val="0"/>
            <w:vAlign w:val="center"/>
          </w:tcPr>
          <w:p w14:paraId="40323F28">
            <w:pPr>
              <w:keepNext w:val="0"/>
              <w:keepLines w:val="0"/>
              <w:widowControl/>
              <w:suppressLineNumbers w:val="0"/>
              <w:jc w:val="center"/>
              <w:textAlignment w:val="center"/>
              <w:rPr>
                <w:rFonts w:hint="eastAsia" w:ascii="仿宋_GB2312" w:hAnsi="仿宋_GB2312" w:eastAsia="仿宋_GB2312" w:cs="仿宋_GB2312"/>
                <w:b/>
                <w:i w:val="0"/>
                <w:color w:val="000000"/>
                <w:kern w:val="2"/>
                <w:sz w:val="28"/>
                <w:szCs w:val="28"/>
                <w:u w:val="none"/>
                <w:lang w:val="en-US" w:eastAsia="zh-CN" w:bidi="ar-SA"/>
              </w:rPr>
            </w:pPr>
          </w:p>
        </w:tc>
        <w:tc>
          <w:tcPr>
            <w:tcW w:w="741" w:type="pct"/>
            <w:noWrap w:val="0"/>
            <w:vAlign w:val="center"/>
          </w:tcPr>
          <w:p w14:paraId="578EDEAE">
            <w:pPr>
              <w:keepNext w:val="0"/>
              <w:keepLines w:val="0"/>
              <w:widowControl/>
              <w:suppressLineNumbers w:val="0"/>
              <w:jc w:val="center"/>
              <w:textAlignment w:val="center"/>
              <w:rPr>
                <w:rFonts w:hint="default"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高新区跨河桥结构检测+荷载试验</w:t>
            </w:r>
          </w:p>
        </w:tc>
        <w:tc>
          <w:tcPr>
            <w:tcW w:w="1085" w:type="pct"/>
            <w:noWrap w:val="0"/>
            <w:vAlign w:val="center"/>
          </w:tcPr>
          <w:p w14:paraId="29D8A883">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对桥梁进行结构定期检测和荷载试验</w:t>
            </w:r>
          </w:p>
        </w:tc>
        <w:tc>
          <w:tcPr>
            <w:tcW w:w="531" w:type="pct"/>
            <w:noWrap w:val="0"/>
            <w:vAlign w:val="center"/>
          </w:tcPr>
          <w:p w14:paraId="63346B29">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座</w:t>
            </w:r>
          </w:p>
        </w:tc>
        <w:tc>
          <w:tcPr>
            <w:tcW w:w="667" w:type="pct"/>
            <w:noWrap w:val="0"/>
            <w:vAlign w:val="center"/>
          </w:tcPr>
          <w:p w14:paraId="5AE38D7C">
            <w:pPr>
              <w:keepNext w:val="0"/>
              <w:keepLines w:val="0"/>
              <w:widowControl/>
              <w:suppressLineNumbers w:val="0"/>
              <w:jc w:val="center"/>
              <w:textAlignment w:val="center"/>
              <w:rPr>
                <w:rFonts w:hint="default"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1</w:t>
            </w:r>
          </w:p>
        </w:tc>
        <w:tc>
          <w:tcPr>
            <w:tcW w:w="769" w:type="pct"/>
            <w:noWrap w:val="0"/>
            <w:vAlign w:val="center"/>
          </w:tcPr>
          <w:p w14:paraId="73FCB937">
            <w:pPr>
              <w:keepNext w:val="0"/>
              <w:keepLines w:val="0"/>
              <w:widowControl/>
              <w:suppressLineNumbers w:val="0"/>
              <w:jc w:val="center"/>
              <w:textAlignment w:val="bottom"/>
              <w:rPr>
                <w:rFonts w:hint="eastAsia" w:ascii="仿宋_GB2312" w:hAnsi="仿宋_GB2312" w:eastAsia="仿宋_GB2312" w:cs="仿宋_GB2312"/>
                <w:i w:val="0"/>
                <w:color w:val="000000"/>
                <w:kern w:val="0"/>
                <w:sz w:val="28"/>
                <w:szCs w:val="28"/>
                <w:u w:val="none"/>
                <w:lang w:val="en-US" w:eastAsia="zh-CN" w:bidi="ar-SA"/>
              </w:rPr>
            </w:pPr>
          </w:p>
        </w:tc>
        <w:tc>
          <w:tcPr>
            <w:tcW w:w="393" w:type="pct"/>
            <w:noWrap w:val="0"/>
            <w:vAlign w:val="center"/>
          </w:tcPr>
          <w:p w14:paraId="334D50DF">
            <w:pPr>
              <w:keepNext w:val="0"/>
              <w:keepLines w:val="0"/>
              <w:widowControl/>
              <w:suppressLineNumbers w:val="0"/>
              <w:jc w:val="center"/>
              <w:textAlignment w:val="bottom"/>
              <w:rPr>
                <w:rFonts w:hint="eastAsia" w:ascii="仿宋_GB2312" w:hAnsi="仿宋_GB2312" w:eastAsia="仿宋_GB2312" w:cs="仿宋_GB2312"/>
                <w:i w:val="0"/>
                <w:color w:val="000000"/>
                <w:kern w:val="0"/>
                <w:sz w:val="28"/>
                <w:szCs w:val="28"/>
                <w:u w:val="none"/>
                <w:lang w:val="en-US" w:eastAsia="zh-CN" w:bidi="ar-SA"/>
              </w:rPr>
            </w:pPr>
          </w:p>
        </w:tc>
      </w:tr>
      <w:tr w14:paraId="0A38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86" w:hRule="exact"/>
        </w:trPr>
        <w:tc>
          <w:tcPr>
            <w:tcW w:w="2638" w:type="pct"/>
            <w:gridSpan w:val="4"/>
            <w:noWrap w:val="0"/>
            <w:vAlign w:val="center"/>
          </w:tcPr>
          <w:p w14:paraId="545AAB8B">
            <w:pPr>
              <w:keepNext w:val="0"/>
              <w:keepLines w:val="0"/>
              <w:widowControl/>
              <w:suppressLineNumbers w:val="0"/>
              <w:jc w:val="center"/>
              <w:textAlignment w:val="center"/>
              <w:rPr>
                <w:rFonts w:hint="default"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i w:val="0"/>
                <w:color w:val="000000"/>
                <w:kern w:val="0"/>
                <w:sz w:val="28"/>
                <w:szCs w:val="28"/>
                <w:u w:val="none"/>
                <w:lang w:val="en-US" w:eastAsia="zh-CN" w:bidi="ar-SA"/>
              </w:rPr>
              <w:t>综合单价合计（元）</w:t>
            </w:r>
          </w:p>
        </w:tc>
        <w:tc>
          <w:tcPr>
            <w:tcW w:w="2361" w:type="pct"/>
            <w:gridSpan w:val="4"/>
            <w:noWrap w:val="0"/>
            <w:vAlign w:val="center"/>
          </w:tcPr>
          <w:p w14:paraId="492F13F8">
            <w:pPr>
              <w:keepNext w:val="0"/>
              <w:keepLines w:val="0"/>
              <w:widowControl/>
              <w:suppressLineNumbers w:val="0"/>
              <w:jc w:val="both"/>
              <w:textAlignment w:val="bottom"/>
              <w:rPr>
                <w:rFonts w:hint="default"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lang w:val="en-US" w:eastAsia="zh-CN"/>
              </w:rPr>
              <w:t>大写：</w:t>
            </w:r>
            <w:r>
              <w:rPr>
                <w:rFonts w:hint="eastAsia" w:ascii="仿宋_GB2312" w:hAnsi="仿宋_GB2312" w:eastAsia="仿宋_GB2312" w:cs="仿宋_GB2312"/>
                <w:sz w:val="28"/>
                <w:szCs w:val="28"/>
                <w:u w:val="single"/>
                <w:lang w:val="en-US" w:eastAsia="zh-CN"/>
              </w:rPr>
              <w:t xml:space="preserve">                     </w:t>
            </w:r>
          </w:p>
          <w:p w14:paraId="0F6C9077">
            <w:pPr>
              <w:keepNext w:val="0"/>
              <w:keepLines w:val="0"/>
              <w:widowControl/>
              <w:suppressLineNumbers w:val="0"/>
              <w:jc w:val="both"/>
              <w:textAlignment w:val="bottom"/>
              <w:rPr>
                <w:rFonts w:hint="default" w:ascii="仿宋_GB2312" w:hAnsi="仿宋_GB2312" w:eastAsia="仿宋_GB2312" w:cs="仿宋_GB2312"/>
                <w:i w:val="0"/>
                <w:color w:val="000000"/>
                <w:kern w:val="0"/>
                <w:sz w:val="28"/>
                <w:szCs w:val="28"/>
                <w:u w:val="none"/>
                <w:lang w:val="en-US" w:eastAsia="zh-CN" w:bidi="ar-SA"/>
              </w:rPr>
            </w:pPr>
            <w:r>
              <w:rPr>
                <w:rFonts w:hint="eastAsia" w:ascii="仿宋_GB2312" w:hAnsi="仿宋_GB2312" w:eastAsia="仿宋_GB2312" w:cs="仿宋_GB2312"/>
                <w:sz w:val="28"/>
                <w:szCs w:val="28"/>
                <w:lang w:val="en-US" w:eastAsia="zh-CN"/>
              </w:rPr>
              <w:t>小写：</w:t>
            </w:r>
            <w:r>
              <w:rPr>
                <w:rFonts w:hint="eastAsia" w:ascii="仿宋_GB2312" w:hAnsi="仿宋_GB2312" w:eastAsia="仿宋_GB2312" w:cs="仿宋_GB2312"/>
                <w:sz w:val="28"/>
                <w:szCs w:val="28"/>
                <w:u w:val="single"/>
                <w:lang w:val="en-US" w:eastAsia="zh-CN"/>
              </w:rPr>
              <w:t xml:space="preserve">                     </w:t>
            </w:r>
          </w:p>
        </w:tc>
      </w:tr>
    </w:tbl>
    <w:p w14:paraId="2182807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说明：</w:t>
      </w:r>
    </w:p>
    <w:p w14:paraId="12D84FA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1、本项目采用为固定全费用综合单价，包括但不限于人工费、材料费、设备费、设备进出场费、交通费、保险费、资料费、管理费、利润、税金等一切相关费用。</w:t>
      </w:r>
    </w:p>
    <w:p w14:paraId="2195AB7C">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本项目报价时系统中首轮报价表、分项报价表及最后报价统一填写为项目预算(1450000.00元)，在“费用组成明细表”中需按照格式填写列明各项单价，且最后报价时应按“费用组成明细表”格式填写各项单价并在系统中作为附件上传。</w:t>
      </w:r>
    </w:p>
    <w:p w14:paraId="14A86D96">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3、本项目在合同执行过程中根据成交单价乘以实际发生工程量据实结算，最终不超过项目预算(1450000.00元)。</w:t>
      </w:r>
    </w:p>
    <w:p w14:paraId="28A6DCB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4、本项目投标报价计算时用最后报价中综合单价合计计算价格分。</w:t>
      </w:r>
    </w:p>
    <w:p w14:paraId="2AE6C708">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lang w:val="en-US" w:eastAsia="zh-CN"/>
        </w:rPr>
        <w:t>供应商</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491DECA0">
      <w:pPr>
        <w:spacing w:line="360" w:lineRule="auto"/>
        <w:ind w:firstLine="2520" w:firstLineChars="900"/>
        <w:rPr>
          <w:rFonts w:ascii="仿宋_GB2312" w:hAnsi="宋体" w:eastAsia="仿宋_GB2312"/>
          <w:sz w:val="28"/>
          <w:szCs w:val="28"/>
        </w:rPr>
      </w:pPr>
      <w:r>
        <w:rPr>
          <w:rFonts w:hint="eastAsia" w:ascii="仿宋_GB2312" w:hAnsi="宋体" w:eastAsia="仿宋_GB2312"/>
          <w:sz w:val="28"/>
          <w:szCs w:val="28"/>
        </w:rPr>
        <w:t>法定</w:t>
      </w:r>
      <w:bookmarkStart w:id="0" w:name="_GoBack"/>
      <w:bookmarkEnd w:id="0"/>
      <w:r>
        <w:rPr>
          <w:rFonts w:hint="eastAsia" w:ascii="仿宋_GB2312" w:hAnsi="宋体" w:eastAsia="仿宋_GB2312"/>
          <w:sz w:val="28"/>
          <w:szCs w:val="28"/>
        </w:rPr>
        <w:t>代表人或授权代表（签字或盖章）：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00BAEF82">
      <w:pPr>
        <w:spacing w:line="360" w:lineRule="auto"/>
        <w:ind w:firstLine="2520" w:firstLineChars="900"/>
        <w:rPr>
          <w:rFonts w:ascii="仿宋_GB2312" w:hAnsi="宋体" w:eastAsia="仿宋_GB2312"/>
          <w:sz w:val="28"/>
          <w:szCs w:val="28"/>
          <w:u w:val="single"/>
        </w:rPr>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p>
    <w:p w14:paraId="2E7124A8"/>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D176ADD"/>
    <w:rsid w:val="0DBC505E"/>
    <w:rsid w:val="108E315A"/>
    <w:rsid w:val="19186C21"/>
    <w:rsid w:val="2ACB46DB"/>
    <w:rsid w:val="2DDA16F2"/>
    <w:rsid w:val="308B4B6C"/>
    <w:rsid w:val="320106B9"/>
    <w:rsid w:val="3EF94F1B"/>
    <w:rsid w:val="3F3E3276"/>
    <w:rsid w:val="4B2E0642"/>
    <w:rsid w:val="52CD31A1"/>
    <w:rsid w:val="59E95F33"/>
    <w:rsid w:val="5A414ADA"/>
    <w:rsid w:val="5C0E6052"/>
    <w:rsid w:val="5F657BB2"/>
    <w:rsid w:val="66056F5E"/>
    <w:rsid w:val="660A0F78"/>
    <w:rsid w:val="66147B98"/>
    <w:rsid w:val="6E1C5C80"/>
    <w:rsid w:val="723E3D9E"/>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99"/>
    <w:pPr>
      <w:jc w:val="left"/>
    </w:pPr>
    <w:rPr>
      <w:rFonts w:ascii="Copperplate Gothic Bold" w:hAnsi="Copperplate Gothic Bold"/>
      <w:kern w:val="0"/>
      <w:sz w:val="20"/>
      <w:szCs w:val="20"/>
    </w:rPr>
  </w:style>
  <w:style w:type="paragraph" w:styleId="4">
    <w:name w:val="footer"/>
    <w:basedOn w:val="1"/>
    <w:next w:val="3"/>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Words>
  <Characters>109</Characters>
  <Lines>0</Lines>
  <Paragraphs>0</Paragraphs>
  <TotalTime>0</TotalTime>
  <ScaleCrop>false</ScaleCrop>
  <LinksUpToDate>false</LinksUpToDate>
  <CharactersWithSpaces>210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2026-07-16T06:47:32Z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