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98A5455">
      <w:pPr>
        <w:spacing w:line="600" w:lineRule="exact"/>
        <w:jc w:val="center"/>
        <w:rPr>
          <w:rFonts w:hint="eastAsia" w:ascii="方正小标宋简体" w:hAnsi="Calibri" w:eastAsia="方正小标宋简体" w:cs="Times New Roman"/>
          <w:color w:val="000000"/>
          <w:sz w:val="44"/>
          <w:szCs w:val="22"/>
          <w:lang w:val="en-US" w:eastAsia="zh-CN"/>
        </w:rPr>
      </w:pPr>
      <w:r>
        <w:rPr>
          <w:rFonts w:hint="eastAsia" w:ascii="方正小标宋简体" w:hAnsi="Calibri" w:eastAsia="方正小标宋简体" w:cs="Times New Roman"/>
          <w:color w:val="000000"/>
          <w:sz w:val="44"/>
          <w:szCs w:val="22"/>
          <w:lang w:val="en-US" w:eastAsia="zh-CN"/>
        </w:rPr>
        <w:t>西北大学长安校区环道周边部分人行道</w:t>
      </w:r>
    </w:p>
    <w:p w14:paraId="3D17379A">
      <w:pPr>
        <w:spacing w:line="600" w:lineRule="exact"/>
        <w:jc w:val="center"/>
        <w:rPr>
          <w:rFonts w:hint="eastAsia" w:ascii="方正小标宋简体" w:hAnsi="Calibri" w:eastAsia="方正小标宋简体" w:cs="Times New Roman"/>
          <w:color w:val="000000"/>
          <w:sz w:val="44"/>
          <w:szCs w:val="22"/>
          <w:lang w:val="en-US" w:eastAsia="zh-CN"/>
        </w:rPr>
      </w:pPr>
      <w:r>
        <w:rPr>
          <w:rFonts w:hint="eastAsia" w:ascii="方正小标宋简体" w:hAnsi="Calibri" w:eastAsia="方正小标宋简体" w:cs="Times New Roman"/>
          <w:color w:val="000000"/>
          <w:sz w:val="44"/>
          <w:szCs w:val="22"/>
          <w:lang w:val="en-US" w:eastAsia="zh-CN"/>
        </w:rPr>
        <w:t>改造工程设计任务书</w:t>
      </w:r>
    </w:p>
    <w:p w14:paraId="0AFE8FD8">
      <w:pPr>
        <w:spacing w:line="560" w:lineRule="exact"/>
        <w:ind w:firstLine="640" w:firstLineChars="200"/>
        <w:jc w:val="left"/>
        <w:rPr>
          <w:rFonts w:hint="eastAsia" w:ascii="黑体" w:hAnsi="宋体" w:eastAsia="黑体" w:cs="Times New Roman"/>
          <w:color w:val="000000"/>
          <w:sz w:val="32"/>
          <w:szCs w:val="32"/>
          <w:lang w:val="en-US" w:eastAsia="zh-CN"/>
        </w:rPr>
      </w:pPr>
      <w:r>
        <w:rPr>
          <w:rFonts w:hint="eastAsia" w:ascii="黑体" w:hAnsi="宋体" w:eastAsia="黑体" w:cs="Times New Roman"/>
          <w:color w:val="000000"/>
          <w:sz w:val="32"/>
          <w:szCs w:val="32"/>
          <w:lang w:val="en-US" w:eastAsia="zh-CN"/>
        </w:rPr>
        <w:t>一、项目概况</w:t>
      </w:r>
    </w:p>
    <w:p w14:paraId="750F1020">
      <w:pPr>
        <w:spacing w:line="560" w:lineRule="exact"/>
        <w:ind w:firstLine="800" w:firstLineChars="250"/>
        <w:jc w:val="left"/>
        <w:rPr>
          <w:rFonts w:hint="eastAsia" w:ascii="仿宋_GB2312" w:hAnsi="Calibri" w:eastAsia="仿宋_GB2312" w:cs="Times New Roman"/>
          <w:color w:val="000000"/>
          <w:sz w:val="32"/>
          <w:szCs w:val="32"/>
          <w:lang w:val="en-US" w:eastAsia="zh-CN"/>
        </w:rPr>
      </w:pPr>
      <w:r>
        <w:rPr>
          <w:rFonts w:hint="eastAsia" w:ascii="仿宋_GB2312" w:hAnsi="Calibri" w:eastAsia="仿宋_GB2312" w:cs="Times New Roman"/>
          <w:color w:val="000000"/>
          <w:sz w:val="32"/>
          <w:szCs w:val="32"/>
          <w:lang w:val="en-US" w:eastAsia="zh-CN"/>
        </w:rPr>
        <w:t>西北大学长安校区南环道双侧人行道已使用 21 年，为校园核心人行通道。原铺装为190mm×190mm 白色广场砖，存在地砖破损老化、松动开裂、树根拱起、雨天积水，路面起伏不平等问题，存在师生通行绊倒、打滑等安全隐患，景观效果与校园环境不匹配。</w:t>
      </w:r>
    </w:p>
    <w:p w14:paraId="4EABDBBC">
      <w:pPr>
        <w:spacing w:line="560" w:lineRule="exact"/>
        <w:ind w:firstLine="800" w:firstLineChars="250"/>
        <w:jc w:val="left"/>
        <w:rPr>
          <w:rFonts w:hint="eastAsia" w:ascii="黑体" w:hAnsi="宋体" w:eastAsia="黑体" w:cs="Times New Roman"/>
          <w:color w:val="000000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宋体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144145</wp:posOffset>
            </wp:positionH>
            <wp:positionV relativeFrom="paragraph">
              <wp:posOffset>813435</wp:posOffset>
            </wp:positionV>
            <wp:extent cx="5010150" cy="3395345"/>
            <wp:effectExtent l="0" t="0" r="0" b="14605"/>
            <wp:wrapTopAndBottom/>
            <wp:docPr id="2" name="图片 2" descr="方案三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方案三图"/>
                    <pic:cNvPicPr>
                      <a:picLocks noChangeAspect="1"/>
                    </pic:cNvPicPr>
                  </pic:nvPicPr>
                  <pic:blipFill>
                    <a:blip r:embed="rId4"/>
                    <a:srcRect l="2978" r="1893" b="6160"/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33953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_GB2312" w:hAnsi="Calibri" w:eastAsia="仿宋_GB2312" w:cs="Times New Roman"/>
          <w:color w:val="000000"/>
          <w:sz w:val="32"/>
          <w:szCs w:val="32"/>
          <w:lang w:val="en-US" w:eastAsia="zh-CN"/>
        </w:rPr>
        <w:t>为消除安全隐患、提升校园道路品质，计划对长安校区南环道双侧人行道实施改造。</w:t>
      </w:r>
    </w:p>
    <w:p w14:paraId="27BA614A">
      <w:pPr>
        <w:numPr>
          <w:ilvl w:val="0"/>
          <w:numId w:val="0"/>
        </w:numPr>
        <w:spacing w:line="560" w:lineRule="exact"/>
        <w:ind w:firstLine="800" w:firstLineChars="250"/>
        <w:jc w:val="left"/>
        <w:rPr>
          <w:rFonts w:hint="eastAsia" w:ascii="黑体" w:hAnsi="宋体" w:eastAsia="黑体" w:cs="Times New Roman"/>
          <w:color w:val="000000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宋体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  <w:t>本次改造范围为长安校区</w:t>
      </w:r>
      <w:r>
        <w:rPr>
          <w:rFonts w:hint="eastAsia" w:ascii="仿宋_GB2312" w:hAnsi="宋体" w:eastAsia="仿宋_GB2312" w:cs="Times New Roman"/>
          <w:b/>
          <w:bCs/>
          <w:color w:val="auto"/>
          <w:kern w:val="2"/>
          <w:sz w:val="32"/>
          <w:szCs w:val="32"/>
          <w:lang w:val="en-US" w:eastAsia="zh-CN" w:bidi="ar-SA"/>
        </w:rPr>
        <w:t>南环道双侧人行道</w:t>
      </w:r>
      <w:r>
        <w:rPr>
          <w:rFonts w:hint="eastAsia" w:ascii="仿宋_GB2312" w:hAnsi="宋体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  <w:t>，改造总面积约</w:t>
      </w:r>
      <w:r>
        <w:rPr>
          <w:rFonts w:hint="eastAsia" w:ascii="仿宋_GB2312" w:hAnsi="宋体" w:eastAsia="仿宋_GB2312" w:cs="Times New Roman"/>
          <w:b/>
          <w:bCs/>
          <w:color w:val="auto"/>
          <w:kern w:val="2"/>
          <w:sz w:val="32"/>
          <w:szCs w:val="32"/>
          <w:lang w:val="en-US" w:eastAsia="zh-CN" w:bidi="ar-SA"/>
        </w:rPr>
        <w:t>3000㎡</w:t>
      </w:r>
      <w:r>
        <w:rPr>
          <w:rFonts w:hint="eastAsia" w:ascii="仿宋_GB2312" w:hAnsi="宋体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  <w:t>，人行道标准宽度为3m。</w:t>
      </w:r>
    </w:p>
    <w:p w14:paraId="315892B8">
      <w:pPr>
        <w:numPr>
          <w:ilvl w:val="0"/>
          <w:numId w:val="0"/>
        </w:numPr>
        <w:spacing w:line="560" w:lineRule="exact"/>
        <w:ind w:firstLine="800" w:firstLineChars="250"/>
        <w:jc w:val="left"/>
        <w:rPr>
          <w:rFonts w:hint="eastAsia" w:ascii="黑体" w:hAnsi="宋体" w:eastAsia="黑体" w:cs="Times New Roman"/>
          <w:color w:val="000000"/>
          <w:sz w:val="32"/>
          <w:szCs w:val="32"/>
          <w:lang w:val="en-US" w:eastAsia="zh-CN"/>
        </w:rPr>
      </w:pPr>
      <w:r>
        <w:rPr>
          <w:rFonts w:hint="eastAsia" w:ascii="黑体" w:hAnsi="宋体" w:eastAsia="黑体" w:cs="Times New Roman"/>
          <w:color w:val="000000"/>
          <w:kern w:val="2"/>
          <w:sz w:val="32"/>
          <w:szCs w:val="32"/>
          <w:lang w:val="en-US" w:eastAsia="zh-CN" w:bidi="ar-SA"/>
        </w:rPr>
        <w:t>二、</w:t>
      </w:r>
      <w:r>
        <w:rPr>
          <w:rFonts w:hint="eastAsia" w:ascii="黑体" w:hAnsi="宋体" w:eastAsia="黑体" w:cs="Times New Roman"/>
          <w:color w:val="000000"/>
          <w:sz w:val="32"/>
          <w:szCs w:val="32"/>
          <w:lang w:val="en-US" w:eastAsia="zh-CN"/>
        </w:rPr>
        <w:t>改造方案</w:t>
      </w:r>
    </w:p>
    <w:p w14:paraId="25DEE12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jc w:val="both"/>
        <w:textAlignment w:val="auto"/>
        <w:rPr>
          <w:rFonts w:hint="default" w:ascii="仿宋_GB2312" w:hAnsi="宋体" w:eastAsia="仿宋_GB2312" w:cs="Times New Roman"/>
          <w:b/>
          <w:bCs/>
          <w:color w:val="auto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宋体" w:eastAsia="仿宋_GB2312" w:cs="Times New Roman"/>
          <w:b/>
          <w:bCs/>
          <w:color w:val="auto"/>
          <w:kern w:val="2"/>
          <w:sz w:val="32"/>
          <w:szCs w:val="32"/>
          <w:lang w:val="en-US" w:eastAsia="zh-CN" w:bidi="ar-SA"/>
        </w:rPr>
        <w:t>（一）面层铺装</w:t>
      </w:r>
    </w:p>
    <w:p w14:paraId="5F729128">
      <w:pPr>
        <w:pStyle w:val="8"/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540" w:leftChars="257" w:firstLine="198" w:firstLineChars="62"/>
        <w:textAlignment w:val="auto"/>
        <w:rPr>
          <w:rFonts w:hint="eastAsia" w:ascii="仿宋_GB2312" w:hAnsi="Calibri" w:eastAsia="仿宋_GB2312" w:cs="Times New Roman"/>
          <w:color w:val="auto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Calibri" w:eastAsia="仿宋_GB2312" w:cs="Times New Roman"/>
          <w:color w:val="auto"/>
          <w:kern w:val="2"/>
          <w:sz w:val="32"/>
          <w:szCs w:val="32"/>
          <w:lang w:val="en-US" w:eastAsia="zh-CN" w:bidi="ar-SA"/>
        </w:rPr>
        <w:t>1.主材选用：</w:t>
      </w:r>
      <w:r>
        <w:rPr>
          <w:rFonts w:hint="eastAsia" w:ascii="仿宋_GB2312" w:hAnsi="Calibri" w:eastAsia="仿宋_GB2312" w:cs="Times New Roman"/>
          <w:b/>
          <w:bCs/>
          <w:color w:val="auto"/>
          <w:kern w:val="2"/>
          <w:sz w:val="32"/>
          <w:szCs w:val="32"/>
          <w:lang w:val="en-US" w:eastAsia="zh-CN" w:bidi="ar-SA"/>
        </w:rPr>
        <w:t>300mm×600mm×60mm混凝土基PC仿石砖</w:t>
      </w:r>
      <w:r>
        <w:rPr>
          <w:rFonts w:hint="eastAsia" w:ascii="仿宋_GB2312" w:hAnsi="Calibri" w:eastAsia="仿宋_GB2312" w:cs="Times New Roman"/>
          <w:color w:val="auto"/>
          <w:kern w:val="2"/>
          <w:sz w:val="32"/>
          <w:szCs w:val="32"/>
          <w:lang w:val="en-US" w:eastAsia="zh-CN" w:bidi="ar-SA"/>
        </w:rPr>
        <w:t>，面层为细石英砂。具备透水防滑、抗压耐磨、耐候抗冻特性，仿石质感大气耐看，适配校园高人流通行，使用寿命长、后期维护简便。</w:t>
      </w:r>
    </w:p>
    <w:tbl>
      <w:tblPr>
        <w:tblStyle w:val="3"/>
        <w:tblW w:w="0" w:type="auto"/>
        <w:tblInd w:w="1753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955"/>
      </w:tblGrid>
      <w:tr w14:paraId="0FFBAF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6" w:hRule="atLeast"/>
        </w:trPr>
        <w:tc>
          <w:tcPr>
            <w:tcW w:w="5955" w:type="dxa"/>
            <w:tcBorders>
              <w:top w:val="nil"/>
              <w:left w:val="nil"/>
              <w:bottom w:val="nil"/>
              <w:right w:val="nil"/>
            </w:tcBorders>
          </w:tcPr>
          <w:p w14:paraId="3A852A81">
            <w:pPr>
              <w:pStyle w:val="8"/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textAlignment w:val="auto"/>
              <w:rPr>
                <w:rFonts w:hint="eastAsia" w:ascii="仿宋_GB2312" w:hAnsi="Calibri" w:eastAsia="仿宋_GB2312" w:cs="Times New Roman"/>
                <w:color w:val="auto"/>
                <w:kern w:val="2"/>
                <w:sz w:val="32"/>
                <w:szCs w:val="32"/>
                <w:vertAlign w:val="baseline"/>
                <w:lang w:val="en-US" w:eastAsia="zh-CN" w:bidi="ar-SA"/>
              </w:rPr>
            </w:pPr>
            <w:r>
              <w:rPr>
                <w:rFonts w:hint="eastAsia" w:ascii="仿宋_GB2312" w:hAnsi="Calibri" w:eastAsia="仿宋_GB2312" w:cs="Times New Roman"/>
                <w:color w:val="auto"/>
                <w:kern w:val="2"/>
                <w:sz w:val="32"/>
                <w:szCs w:val="32"/>
                <w:lang w:val="en-US" w:eastAsia="zh-CN" w:bidi="ar-SA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-68580</wp:posOffset>
                  </wp:positionH>
                  <wp:positionV relativeFrom="paragraph">
                    <wp:posOffset>231775</wp:posOffset>
                  </wp:positionV>
                  <wp:extent cx="3743960" cy="2177415"/>
                  <wp:effectExtent l="0" t="0" r="8890" b="13335"/>
                  <wp:wrapNone/>
                  <wp:docPr id="4" name="图片 4" descr="766d7a49710e04e12dc6ad98cb096b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766d7a49710e04e12dc6ad98cb096b7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rcRect l="6019" r="126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43960" cy="2177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2DF88B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955" w:type="dxa"/>
            <w:tcBorders>
              <w:top w:val="nil"/>
              <w:left w:val="nil"/>
              <w:bottom w:val="nil"/>
              <w:right w:val="nil"/>
            </w:tcBorders>
          </w:tcPr>
          <w:p w14:paraId="47DE7A8E">
            <w:pPr>
              <w:pStyle w:val="8"/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仿宋_GB2312" w:hAnsi="Calibri" w:eastAsia="仿宋_GB2312" w:cs="Times New Roman"/>
                <w:color w:val="auto"/>
                <w:kern w:val="2"/>
                <w:sz w:val="32"/>
                <w:szCs w:val="32"/>
                <w:vertAlign w:val="baseline"/>
                <w:lang w:val="en-US" w:eastAsia="zh-CN" w:bidi="ar-SA"/>
              </w:rPr>
            </w:pPr>
            <w:r>
              <w:rPr>
                <w:rFonts w:hint="eastAsia" w:ascii="黑体" w:hAnsi="黑体" w:eastAsia="黑体" w:cs="黑体"/>
                <w:color w:val="auto"/>
                <w:kern w:val="2"/>
                <w:sz w:val="28"/>
                <w:szCs w:val="28"/>
                <w:lang w:val="en-US" w:eastAsia="zh-CN" w:bidi="ar-SA"/>
              </w:rPr>
              <w:t>透水 PC 仿石砖实物参照图</w:t>
            </w:r>
          </w:p>
        </w:tc>
      </w:tr>
    </w:tbl>
    <w:p w14:paraId="05ECE07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jc w:val="both"/>
        <w:textAlignment w:val="auto"/>
        <w:rPr>
          <w:rFonts w:hint="eastAsia" w:ascii="仿宋_GB2312" w:hAnsi="宋体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宋体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  <w:t>2.铺贴及施工工艺：人行道采用</w:t>
      </w:r>
      <w:r>
        <w:rPr>
          <w:rFonts w:hint="eastAsia" w:ascii="仿宋_GB2312" w:hAnsi="宋体" w:eastAsia="仿宋_GB2312" w:cs="Times New Roman"/>
          <w:b/>
          <w:bCs/>
          <w:color w:val="auto"/>
          <w:kern w:val="2"/>
          <w:sz w:val="32"/>
          <w:szCs w:val="32"/>
          <w:lang w:val="en-US" w:eastAsia="zh-CN" w:bidi="ar-SA"/>
        </w:rPr>
        <w:t>纵向铺设</w:t>
      </w:r>
      <w:r>
        <w:rPr>
          <w:rFonts w:hint="eastAsia" w:ascii="仿宋_GB2312" w:hAnsi="宋体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  <w:t>、</w:t>
      </w:r>
      <w:r>
        <w:rPr>
          <w:rFonts w:hint="eastAsia" w:ascii="仿宋_GB2312" w:hAnsi="宋体" w:eastAsia="仿宋_GB2312" w:cs="Times New Roman"/>
          <w:b/>
          <w:bCs/>
          <w:color w:val="auto"/>
          <w:kern w:val="2"/>
          <w:sz w:val="32"/>
          <w:szCs w:val="32"/>
          <w:lang w:val="en-US" w:eastAsia="zh-CN" w:bidi="ar-SA"/>
        </w:rPr>
        <w:t>工字错缝</w:t>
      </w:r>
      <w:r>
        <w:rPr>
          <w:rFonts w:hint="eastAsia" w:ascii="仿宋_GB2312" w:hAnsi="宋体" w:eastAsia="仿宋_GB2312" w:cs="Times New Roman"/>
          <w:b w:val="0"/>
          <w:bCs w:val="0"/>
          <w:color w:val="auto"/>
          <w:kern w:val="2"/>
          <w:sz w:val="32"/>
          <w:szCs w:val="32"/>
          <w:lang w:val="en-US" w:eastAsia="zh-CN" w:bidi="ar-SA"/>
        </w:rPr>
        <w:t>方式施工，采用30mm厚 1:6 干硬性水泥砂浆找平铺贴，完工后粗砂扫缝、洒水封缝养护。</w:t>
      </w:r>
    </w:p>
    <w:tbl>
      <w:tblPr>
        <w:tblStyle w:val="3"/>
        <w:tblW w:w="0" w:type="auto"/>
        <w:tblInd w:w="1309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120"/>
      </w:tblGrid>
      <w:tr w14:paraId="2A0EDB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59" w:hRule="atLeast"/>
        </w:trPr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2DE38254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both"/>
              <w:textAlignment w:val="auto"/>
              <w:rPr>
                <w:rFonts w:hint="eastAsia" w:ascii="仿宋_GB2312" w:hAnsi="宋体" w:eastAsia="仿宋_GB2312" w:cs="Times New Roman"/>
                <w:b w:val="0"/>
                <w:bCs w:val="0"/>
                <w:color w:val="auto"/>
                <w:kern w:val="2"/>
                <w:sz w:val="32"/>
                <w:szCs w:val="32"/>
                <w:vertAlign w:val="baseline"/>
                <w:lang w:val="en-US" w:eastAsia="zh-CN" w:bidi="ar-SA"/>
              </w:rPr>
            </w:pPr>
            <w:r>
              <w:rPr>
                <w:rFonts w:hint="eastAsia" w:ascii="仿宋_GB2312" w:hAnsi="Calibri" w:eastAsia="仿宋_GB2312" w:cs="Times New Roman"/>
                <w:color w:val="auto"/>
                <w:kern w:val="2"/>
                <w:sz w:val="32"/>
                <w:szCs w:val="32"/>
                <w:lang w:val="en-US" w:eastAsia="zh-CN" w:bidi="ar-SA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28575</wp:posOffset>
                  </wp:positionH>
                  <wp:positionV relativeFrom="paragraph">
                    <wp:posOffset>132080</wp:posOffset>
                  </wp:positionV>
                  <wp:extent cx="3634740" cy="2491740"/>
                  <wp:effectExtent l="0" t="0" r="3810" b="3810"/>
                  <wp:wrapNone/>
                  <wp:docPr id="6" name="图片 6" descr="4c481cba33a4d34ac8056fbcb66f9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4c481cba33a4d34ac8056fbcb66f937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 b="70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34740" cy="2491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2B3F1E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5235B20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仿宋_GB2312" w:hAnsi="宋体" w:eastAsia="仿宋_GB2312" w:cs="Times New Roman"/>
                <w:b w:val="0"/>
                <w:bCs w:val="0"/>
                <w:color w:val="auto"/>
                <w:kern w:val="2"/>
                <w:sz w:val="32"/>
                <w:szCs w:val="32"/>
                <w:vertAlign w:val="baseline"/>
                <w:lang w:val="en-US" w:eastAsia="zh-CN" w:bidi="ar-SA"/>
              </w:rPr>
            </w:pPr>
            <w:r>
              <w:rPr>
                <w:rFonts w:hint="eastAsia" w:ascii="黑体" w:hAnsi="黑体" w:eastAsia="黑体" w:cs="黑体"/>
                <w:color w:val="auto"/>
                <w:kern w:val="2"/>
                <w:sz w:val="28"/>
                <w:szCs w:val="28"/>
                <w:lang w:val="en-US" w:eastAsia="zh-CN" w:bidi="ar-SA"/>
              </w:rPr>
              <w:t>地砖铺贴示意图</w:t>
            </w:r>
          </w:p>
        </w:tc>
      </w:tr>
    </w:tbl>
    <w:p w14:paraId="69197B73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5"/>
        <w:jc w:val="left"/>
        <w:textAlignment w:val="auto"/>
        <w:rPr>
          <w:rFonts w:hint="default" w:ascii="仿宋_GB2312" w:hAnsi="Calibri" w:eastAsia="仿宋_GB2312" w:cs="Times New Roman"/>
          <w:color w:val="auto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Calibri" w:eastAsia="仿宋_GB2312" w:cs="Times New Roman"/>
          <w:color w:val="auto"/>
          <w:kern w:val="2"/>
          <w:sz w:val="32"/>
          <w:szCs w:val="32"/>
          <w:lang w:val="en-US" w:eastAsia="zh-CN" w:bidi="ar-SA"/>
        </w:rPr>
        <w:t>（说明：纵向铺贴，砖块长边与人行道走向平行，上下排错缝1/2砖宽（即300mm），形成标准工字拼，缝隙3-5mm，整体呈现规整、延伸的视觉效果）</w:t>
      </w:r>
    </w:p>
    <w:p w14:paraId="2A0DF0CF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jc w:val="left"/>
        <w:textAlignment w:val="auto"/>
        <w:rPr>
          <w:rFonts w:hint="default" w:ascii="仿宋_GB2312" w:hAnsi="Calibri" w:eastAsia="仿宋_GB2312" w:cs="Times New Roman"/>
          <w:b/>
          <w:bCs/>
          <w:color w:val="auto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Calibri" w:eastAsia="仿宋_GB2312" w:cs="Times New Roman"/>
          <w:b/>
          <w:bCs/>
          <w:color w:val="auto"/>
          <w:kern w:val="2"/>
          <w:sz w:val="32"/>
          <w:szCs w:val="32"/>
          <w:lang w:val="en-US" w:eastAsia="zh-CN" w:bidi="ar-SA"/>
        </w:rPr>
        <w:t>3.特殊节点处理</w:t>
      </w:r>
    </w:p>
    <w:p w14:paraId="36015C8C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5"/>
        <w:jc w:val="left"/>
        <w:textAlignment w:val="auto"/>
        <w:rPr>
          <w:rFonts w:hint="eastAsia" w:ascii="仿宋_GB2312" w:hAnsi="Calibri" w:eastAsia="仿宋_GB2312" w:cs="Times New Roman"/>
          <w:b/>
          <w:bCs/>
          <w:color w:val="auto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Calibri" w:eastAsia="仿宋_GB2312" w:cs="Times New Roman"/>
          <w:b/>
          <w:bCs/>
          <w:color w:val="auto"/>
          <w:kern w:val="2"/>
          <w:sz w:val="32"/>
          <w:szCs w:val="32"/>
          <w:lang w:val="en-US" w:eastAsia="zh-CN" w:bidi="ar-SA"/>
        </w:rPr>
        <w:t>（1）树池及根系隆起路面整治</w:t>
      </w:r>
    </w:p>
    <w:p w14:paraId="34B666A8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5"/>
        <w:jc w:val="left"/>
        <w:textAlignment w:val="auto"/>
        <w:rPr>
          <w:rFonts w:hint="eastAsia" w:ascii="仿宋_GB2312" w:hAnsi="Calibri" w:eastAsia="仿宋_GB2312" w:cs="Times New Roman"/>
          <w:color w:val="auto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Calibri" w:eastAsia="仿宋_GB2312" w:cs="Times New Roman"/>
          <w:color w:val="auto"/>
          <w:kern w:val="2"/>
          <w:sz w:val="32"/>
          <w:szCs w:val="32"/>
          <w:lang w:val="en-US" w:eastAsia="zh-CN" w:bidi="ar-SA"/>
        </w:rPr>
        <w:t>本次人行道改造需同步处置树木根系隆起变形问题，对破损、起伏路段统一整平修复。人行道内侧与裸土区域、异质铺装衔接部位（见下图），凡因树木根系生长造成路面隆起、变形、开裂的区域，全部纳入本次施工范围；涉及原有老旧铺装拆除、路基基层修整复原、面层铺装恢复等全部工序，均包含在本次施工内容内。</w:t>
      </w:r>
    </w:p>
    <w:p w14:paraId="752C37A1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5"/>
        <w:jc w:val="left"/>
        <w:textAlignment w:val="auto"/>
        <w:rPr>
          <w:rFonts w:hint="eastAsia" w:ascii="仿宋_GB2312" w:hAnsi="Calibri" w:eastAsia="仿宋_GB2312" w:cs="Times New Roman"/>
          <w:b/>
          <w:bCs/>
          <w:color w:val="auto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Calibri" w:eastAsia="仿宋_GB2312" w:cs="Times New Roman"/>
          <w:b/>
          <w:bCs/>
          <w:color w:val="auto"/>
          <w:kern w:val="2"/>
          <w:sz w:val="32"/>
          <w:szCs w:val="32"/>
          <w:lang w:val="en-US" w:eastAsia="zh-CN" w:bidi="ar-SA"/>
        </w:rPr>
        <w:t>（2）检查井周边铺装整治</w:t>
      </w:r>
    </w:p>
    <w:p w14:paraId="25BFF99A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5"/>
        <w:jc w:val="left"/>
        <w:textAlignment w:val="auto"/>
        <w:rPr>
          <w:rFonts w:hint="default" w:ascii="仿宋_GB2312" w:hAnsi="Calibri" w:eastAsia="仿宋_GB2312" w:cs="Times New Roman"/>
          <w:color w:val="auto"/>
          <w:kern w:val="2"/>
          <w:sz w:val="32"/>
          <w:szCs w:val="32"/>
          <w:lang w:val="en-US" w:eastAsia="zh-CN" w:bidi="ar-SA"/>
        </w:rPr>
      </w:pPr>
      <w:r>
        <w:rPr>
          <w:rFonts w:hint="default" w:ascii="仿宋_GB2312" w:hAnsi="Calibri" w:eastAsia="仿宋_GB2312" w:cs="Times New Roman"/>
          <w:color w:val="auto"/>
          <w:kern w:val="2"/>
          <w:sz w:val="32"/>
          <w:szCs w:val="32"/>
          <w:lang w:val="en-US" w:eastAsia="zh-CN" w:bidi="ar-SA"/>
        </w:rPr>
        <w:t>现场人行道分布有零星污水检查井井盖，施工单位在原有地砖拆除、路面翻新作业全过程中，须统筹做好井盖防护工作。作业时严禁磕碰、撬动、损坏井盖及井座结构，后续新砖铺装需依照井盖现有标高平顺衔接收口，保障井盖完好及路面衔接规整。</w:t>
      </w:r>
    </w:p>
    <w:tbl>
      <w:tblPr>
        <w:tblStyle w:val="3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61"/>
        <w:gridCol w:w="4261"/>
      </w:tblGrid>
      <w:tr w14:paraId="414A60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1" w:type="dxa"/>
            <w:tcBorders>
              <w:top w:val="nil"/>
              <w:left w:val="nil"/>
              <w:bottom w:val="nil"/>
              <w:right w:val="nil"/>
            </w:tcBorders>
          </w:tcPr>
          <w:p w14:paraId="7A05CAA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left"/>
              <w:textAlignment w:val="auto"/>
              <w:rPr>
                <w:rFonts w:hint="eastAsia" w:ascii="仿宋_GB2312" w:hAnsi="Calibri" w:eastAsia="仿宋_GB2312" w:cs="Times New Roman"/>
                <w:color w:val="auto"/>
                <w:kern w:val="2"/>
                <w:sz w:val="32"/>
                <w:szCs w:val="32"/>
                <w:vertAlign w:val="baseline"/>
                <w:lang w:val="en-US" w:eastAsia="zh-CN" w:bidi="ar-SA"/>
              </w:rPr>
            </w:pPr>
            <w:r>
              <w:rPr>
                <w:rFonts w:hint="eastAsia" w:ascii="仿宋_GB2312" w:hAnsi="Calibri" w:eastAsia="仿宋_GB2312" w:cs="Times New Roman"/>
                <w:color w:val="auto"/>
                <w:kern w:val="2"/>
                <w:sz w:val="32"/>
                <w:szCs w:val="32"/>
                <w:lang w:val="en-US" w:eastAsia="zh-CN" w:bidi="ar-SA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-9525</wp:posOffset>
                  </wp:positionH>
                  <wp:positionV relativeFrom="page">
                    <wp:posOffset>36830</wp:posOffset>
                  </wp:positionV>
                  <wp:extent cx="2552700" cy="2123440"/>
                  <wp:effectExtent l="0" t="0" r="0" b="10160"/>
                  <wp:wrapNone/>
                  <wp:docPr id="11" name="图片 11" descr="ad80b6265843947dab8a1bff905e57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 descr="ad80b6265843947dab8a1bff905e57d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2123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261" w:type="dxa"/>
            <w:tcBorders>
              <w:top w:val="nil"/>
              <w:left w:val="nil"/>
              <w:bottom w:val="nil"/>
              <w:right w:val="nil"/>
            </w:tcBorders>
          </w:tcPr>
          <w:p w14:paraId="058BE80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left"/>
              <w:textAlignment w:val="auto"/>
              <w:rPr>
                <w:rFonts w:hint="eastAsia" w:ascii="仿宋_GB2312" w:hAnsi="Calibri" w:eastAsia="仿宋_GB2312" w:cs="Times New Roman"/>
                <w:color w:val="auto"/>
                <w:kern w:val="2"/>
                <w:sz w:val="32"/>
                <w:szCs w:val="32"/>
                <w:vertAlign w:val="baseline"/>
                <w:lang w:val="en-US" w:eastAsia="zh-CN" w:bidi="ar-SA"/>
              </w:rPr>
            </w:pPr>
            <w:r>
              <w:rPr>
                <w:rFonts w:hint="eastAsia" w:ascii="仿宋_GB2312" w:hAnsi="Calibri" w:eastAsia="仿宋_GB2312" w:cs="Times New Roman"/>
                <w:color w:val="auto"/>
                <w:kern w:val="2"/>
                <w:sz w:val="32"/>
                <w:szCs w:val="32"/>
                <w:vertAlign w:val="baseline"/>
                <w:lang w:val="en-US" w:eastAsia="zh-CN" w:bidi="ar-SA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ge">
                    <wp:posOffset>0</wp:posOffset>
                  </wp:positionV>
                  <wp:extent cx="2552700" cy="2113280"/>
                  <wp:effectExtent l="0" t="0" r="0" b="1270"/>
                  <wp:wrapTopAndBottom/>
                  <wp:docPr id="12" name="图片 12" descr="bed9846e72f74592c1c34636fcb772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2" descr="bed9846e72f74592c1c34636fcb772c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2113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5F24E8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76" w:hRule="atLeast"/>
        </w:trPr>
        <w:tc>
          <w:tcPr>
            <w:tcW w:w="4261" w:type="dxa"/>
            <w:tcBorders>
              <w:top w:val="nil"/>
              <w:left w:val="nil"/>
              <w:bottom w:val="nil"/>
              <w:right w:val="nil"/>
            </w:tcBorders>
          </w:tcPr>
          <w:p w14:paraId="3A71EE9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left"/>
              <w:textAlignment w:val="auto"/>
              <w:rPr>
                <w:rFonts w:hint="eastAsia" w:ascii="仿宋_GB2312" w:hAnsi="Calibri" w:eastAsia="仿宋_GB2312" w:cs="Times New Roman"/>
                <w:color w:val="auto"/>
                <w:kern w:val="2"/>
                <w:sz w:val="32"/>
                <w:szCs w:val="32"/>
                <w:vertAlign w:val="baseline"/>
                <w:lang w:val="en-US" w:eastAsia="zh-CN" w:bidi="ar-SA"/>
              </w:rPr>
            </w:pPr>
            <w:r>
              <w:rPr>
                <w:rFonts w:hint="eastAsia" w:ascii="仿宋_GB2312" w:hAnsi="Calibri" w:eastAsia="仿宋_GB2312" w:cs="Times New Roman"/>
                <w:color w:val="auto"/>
                <w:kern w:val="2"/>
                <w:sz w:val="32"/>
                <w:szCs w:val="32"/>
                <w:lang w:val="en-US" w:eastAsia="zh-CN" w:bidi="ar-SA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ge">
                    <wp:posOffset>0</wp:posOffset>
                  </wp:positionV>
                  <wp:extent cx="2552700" cy="2037715"/>
                  <wp:effectExtent l="0" t="0" r="0" b="635"/>
                  <wp:wrapSquare wrapText="bothSides"/>
                  <wp:docPr id="13" name="图片 13" descr="0bd3c6e0b2dce3a2a53b7870687eae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 descr="0bd3c6e0b2dce3a2a53b7870687eae7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2037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261" w:type="dxa"/>
            <w:tcBorders>
              <w:top w:val="nil"/>
              <w:left w:val="nil"/>
              <w:bottom w:val="nil"/>
              <w:right w:val="nil"/>
            </w:tcBorders>
          </w:tcPr>
          <w:p w14:paraId="717819E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left"/>
              <w:textAlignment w:val="auto"/>
              <w:rPr>
                <w:rFonts w:hint="eastAsia" w:ascii="仿宋_GB2312" w:hAnsi="Calibri" w:eastAsia="仿宋_GB2312" w:cs="Times New Roman"/>
                <w:color w:val="auto"/>
                <w:kern w:val="2"/>
                <w:sz w:val="32"/>
                <w:szCs w:val="32"/>
                <w:vertAlign w:val="baseline"/>
                <w:lang w:val="en-US" w:eastAsia="zh-CN" w:bidi="ar-SA"/>
              </w:rPr>
            </w:pPr>
            <w:r>
              <w:rPr>
                <w:rFonts w:hint="eastAsia" w:ascii="仿宋_GB2312" w:hAnsi="Calibri" w:eastAsia="仿宋_GB2312" w:cs="Times New Roman"/>
                <w:color w:val="auto"/>
                <w:kern w:val="2"/>
                <w:sz w:val="32"/>
                <w:szCs w:val="32"/>
                <w:vertAlign w:val="baseline"/>
                <w:lang w:val="en-US" w:eastAsia="zh-CN" w:bidi="ar-SA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-1639570</wp:posOffset>
                  </wp:positionV>
                  <wp:extent cx="2552700" cy="2056765"/>
                  <wp:effectExtent l="0" t="0" r="0" b="635"/>
                  <wp:wrapTopAndBottom/>
                  <wp:docPr id="14" name="图片 14" descr="53ca4974a7792dcbde70eab875e07e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4" descr="53ca4974a7792dcbde70eab875e07ea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2056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6E8ABC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6C7536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default" w:ascii="仿宋_GB2312" w:hAnsi="Calibri" w:eastAsia="仿宋_GB2312" w:cs="Times New Roman"/>
                <w:color w:val="auto"/>
                <w:kern w:val="2"/>
                <w:sz w:val="32"/>
                <w:szCs w:val="32"/>
                <w:vertAlign w:val="baseline"/>
                <w:lang w:val="en-US" w:eastAsia="zh-CN" w:bidi="ar-SA"/>
              </w:rPr>
            </w:pPr>
            <w:r>
              <w:rPr>
                <w:rFonts w:hint="eastAsia" w:ascii="黑体" w:hAnsi="黑体" w:eastAsia="黑体" w:cs="黑体"/>
                <w:color w:val="auto"/>
                <w:kern w:val="2"/>
                <w:sz w:val="28"/>
                <w:szCs w:val="28"/>
                <w:lang w:val="en-US" w:eastAsia="zh-CN" w:bidi="ar-SA"/>
              </w:rPr>
              <w:t>树池及检查井周边现状图</w:t>
            </w:r>
          </w:p>
        </w:tc>
      </w:tr>
    </w:tbl>
    <w:p w14:paraId="15E32FB5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5"/>
        <w:jc w:val="left"/>
        <w:textAlignment w:val="auto"/>
        <w:rPr>
          <w:rFonts w:hint="eastAsia" w:ascii="仿宋_GB2312" w:hAnsi="Calibri" w:eastAsia="仿宋_GB2312" w:cs="Times New Roman"/>
          <w:color w:val="auto"/>
          <w:kern w:val="2"/>
          <w:sz w:val="32"/>
          <w:szCs w:val="32"/>
          <w:lang w:val="en-US" w:eastAsia="zh-CN" w:bidi="ar-SA"/>
        </w:rPr>
      </w:pPr>
    </w:p>
    <w:p w14:paraId="132B420D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5"/>
        <w:jc w:val="left"/>
        <w:textAlignment w:val="auto"/>
        <w:rPr>
          <w:rFonts w:hint="default" w:ascii="仿宋_GB2312" w:hAnsi="Calibri" w:eastAsia="仿宋_GB2312" w:cs="Times New Roman"/>
          <w:b/>
          <w:bCs/>
          <w:color w:val="auto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Calibri" w:eastAsia="仿宋_GB2312" w:cs="Times New Roman"/>
          <w:b/>
          <w:bCs/>
          <w:color w:val="auto"/>
          <w:kern w:val="2"/>
          <w:sz w:val="32"/>
          <w:szCs w:val="32"/>
          <w:lang w:val="en-US" w:eastAsia="zh-CN" w:bidi="ar-SA"/>
        </w:rPr>
        <w:t>（二）道牙更换</w:t>
      </w:r>
    </w:p>
    <w:p w14:paraId="78CA0B1A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jc w:val="left"/>
        <w:textAlignment w:val="auto"/>
        <w:rPr>
          <w:rFonts w:hint="eastAsia" w:ascii="仿宋_GB2312" w:hAnsi="Calibri" w:eastAsia="仿宋_GB2312" w:cs="Times New Roman"/>
          <w:color w:val="auto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Calibri" w:eastAsia="仿宋_GB2312" w:cs="Times New Roman"/>
          <w:b/>
          <w:bCs/>
          <w:color w:val="auto"/>
          <w:kern w:val="2"/>
          <w:sz w:val="32"/>
          <w:szCs w:val="32"/>
          <w:lang w:val="en-US" w:eastAsia="zh-CN" w:bidi="ar-SA"/>
        </w:rPr>
        <w:t>1.外道牙（靠车行道侧）</w:t>
      </w:r>
      <w:r>
        <w:rPr>
          <w:rFonts w:hint="eastAsia" w:ascii="仿宋_GB2312" w:hAnsi="Calibri" w:eastAsia="仿宋_GB2312" w:cs="Times New Roman"/>
          <w:color w:val="auto"/>
          <w:kern w:val="2"/>
          <w:sz w:val="32"/>
          <w:szCs w:val="32"/>
          <w:lang w:val="en-US" w:eastAsia="zh-CN" w:bidi="ar-SA"/>
        </w:rPr>
        <w:t>：采用花岗岩异型防撞道牙，规格600mm×300mm×150mm，为目前城市道路外道牙主流选择：</w:t>
      </w:r>
    </w:p>
    <w:p w14:paraId="53C88F12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jc w:val="left"/>
        <w:textAlignment w:val="auto"/>
        <w:rPr>
          <w:rFonts w:hint="eastAsia" w:ascii="仿宋_GB2312" w:hAnsi="Calibri" w:eastAsia="仿宋_GB2312" w:cs="Times New Roman"/>
          <w:color w:val="auto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Calibri" w:eastAsia="仿宋_GB2312" w:cs="Times New Roman"/>
          <w:color w:val="auto"/>
          <w:kern w:val="2"/>
          <w:sz w:val="32"/>
          <w:szCs w:val="32"/>
          <w:lang w:val="en-US" w:eastAsia="zh-CN" w:bidi="ar-SA"/>
        </w:rPr>
        <w:t>（1）材质优势：花岗岩莫氏硬度6-7级，抗压强度≥100MPa，耐磨抗冻，能承受车辆剐蹭与碾压，适配校园车行道防护需求；</w:t>
      </w:r>
    </w:p>
    <w:p w14:paraId="5EA864B7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5"/>
        <w:jc w:val="left"/>
        <w:textAlignment w:val="auto"/>
        <w:rPr>
          <w:rFonts w:hint="eastAsia" w:ascii="仿宋_GB2312" w:hAnsi="Calibri" w:eastAsia="仿宋_GB2312" w:cs="Times New Roman"/>
          <w:color w:val="auto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Calibri" w:eastAsia="仿宋_GB2312" w:cs="Times New Roman"/>
          <w:color w:val="auto"/>
          <w:kern w:val="2"/>
          <w:sz w:val="32"/>
          <w:szCs w:val="32"/>
          <w:lang w:val="en-US" w:eastAsia="zh-CN" w:bidi="ar-SA"/>
        </w:rPr>
        <w:t>（2）外观适配：色调与PC仿石砖协调统一，整体景观质感强。</w:t>
      </w:r>
    </w:p>
    <w:p w14:paraId="61714D96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5"/>
        <w:jc w:val="left"/>
        <w:textAlignment w:val="auto"/>
        <w:rPr>
          <w:rFonts w:hint="eastAsia" w:ascii="仿宋_GB2312" w:hAnsi="Calibri" w:eastAsia="仿宋_GB2312" w:cs="Times New Roman"/>
          <w:color w:val="auto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Calibri" w:eastAsia="仿宋_GB2312" w:cs="Times New Roman"/>
          <w:b/>
          <w:bCs/>
          <w:color w:val="auto"/>
          <w:kern w:val="2"/>
          <w:sz w:val="32"/>
          <w:szCs w:val="32"/>
          <w:lang w:val="en-US" w:eastAsia="zh-CN" w:bidi="ar-SA"/>
        </w:rPr>
        <w:t>2.内道牙（靠绿地侧）</w:t>
      </w:r>
      <w:r>
        <w:rPr>
          <w:rFonts w:hint="eastAsia" w:ascii="仿宋_GB2312" w:hAnsi="Calibri" w:eastAsia="仿宋_GB2312" w:cs="Times New Roman"/>
          <w:color w:val="auto"/>
          <w:kern w:val="2"/>
          <w:sz w:val="32"/>
          <w:szCs w:val="32"/>
          <w:lang w:val="en-US" w:eastAsia="zh-CN" w:bidi="ar-SA"/>
        </w:rPr>
        <w:t>：采用窄型青石板道牙，规格600mm×150mm×80mm，与绿地过渡自然。</w:t>
      </w:r>
    </w:p>
    <w:p w14:paraId="2409EC7C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5"/>
        <w:jc w:val="left"/>
        <w:textAlignment w:val="auto"/>
        <w:rPr>
          <w:rFonts w:hint="eastAsia" w:ascii="仿宋_GB2312" w:hAnsi="Calibri" w:eastAsia="仿宋_GB2312" w:cs="Times New Roman"/>
          <w:color w:val="auto"/>
          <w:kern w:val="2"/>
          <w:sz w:val="32"/>
          <w:szCs w:val="32"/>
          <w:highlight w:val="none"/>
          <w:lang w:val="en-US" w:eastAsia="zh-CN" w:bidi="ar-SA"/>
        </w:rPr>
      </w:pPr>
      <w:r>
        <w:rPr>
          <w:rFonts w:hint="eastAsia" w:ascii="仿宋_GB2312" w:hAnsi="Calibri" w:eastAsia="仿宋_GB2312" w:cs="Times New Roman"/>
          <w:color w:val="auto"/>
          <w:kern w:val="2"/>
          <w:sz w:val="32"/>
          <w:szCs w:val="32"/>
          <w:highlight w:val="none"/>
          <w:lang w:val="en-US" w:eastAsia="zh-CN" w:bidi="ar-SA"/>
        </w:rPr>
        <w:t>（三）树套款式（防锈钢质窄款边框+植草格+碎石）</w:t>
      </w:r>
    </w:p>
    <w:p w14:paraId="17E26254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5"/>
        <w:jc w:val="left"/>
        <w:textAlignment w:val="auto"/>
        <w:rPr>
          <w:rFonts w:hint="eastAsia" w:ascii="仿宋_GB2312" w:hAnsi="Calibri" w:eastAsia="仿宋_GB2312" w:cs="Times New Roman"/>
          <w:color w:val="auto"/>
          <w:kern w:val="2"/>
          <w:sz w:val="32"/>
          <w:szCs w:val="32"/>
          <w:highlight w:val="none"/>
          <w:lang w:val="en-US" w:eastAsia="zh-CN" w:bidi="ar-SA"/>
        </w:rPr>
      </w:pPr>
      <w:r>
        <w:rPr>
          <w:rFonts w:hint="eastAsia" w:ascii="仿宋_GB2312" w:hAnsi="Calibri" w:eastAsia="仿宋_GB2312" w:cs="Times New Roman"/>
          <w:color w:val="auto"/>
          <w:kern w:val="2"/>
          <w:sz w:val="32"/>
          <w:szCs w:val="32"/>
          <w:highlight w:val="none"/>
          <w:lang w:val="en-US" w:eastAsia="zh-CN" w:bidi="ar-SA"/>
        </w:rPr>
        <w:t>1.树池规格：统一1.2m×1.2m方形标准树池</w:t>
      </w:r>
    </w:p>
    <w:p w14:paraId="0BAAECED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5"/>
        <w:jc w:val="left"/>
        <w:textAlignment w:val="auto"/>
        <w:rPr>
          <w:rFonts w:hint="default" w:ascii="仿宋_GB2312" w:hAnsi="Calibri" w:eastAsia="仿宋_GB2312" w:cs="Times New Roman"/>
          <w:color w:val="auto"/>
          <w:kern w:val="2"/>
          <w:sz w:val="32"/>
          <w:szCs w:val="32"/>
          <w:highlight w:val="none"/>
          <w:lang w:val="en-US" w:eastAsia="zh-CN" w:bidi="ar-SA"/>
        </w:rPr>
      </w:pPr>
      <w:r>
        <w:rPr>
          <w:rFonts w:hint="eastAsia" w:ascii="仿宋_GB2312" w:hAnsi="Calibri" w:eastAsia="仿宋_GB2312" w:cs="Times New Roman"/>
          <w:color w:val="auto"/>
          <w:kern w:val="2"/>
          <w:sz w:val="32"/>
          <w:szCs w:val="32"/>
          <w:highlight w:val="none"/>
          <w:lang w:val="en-US" w:eastAsia="zh-CN" w:bidi="ar-SA"/>
        </w:rPr>
        <w:t>2.收边材质：防锈钢质 L 型窄款分隔条</w:t>
      </w:r>
    </w:p>
    <w:p w14:paraId="38F6ADD6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5"/>
        <w:jc w:val="left"/>
        <w:textAlignment w:val="auto"/>
        <w:rPr>
          <w:rFonts w:hint="eastAsia" w:ascii="仿宋_GB2312" w:hAnsi="Calibri" w:eastAsia="仿宋_GB2312" w:cs="Times New Roman"/>
          <w:color w:val="auto"/>
          <w:kern w:val="2"/>
          <w:sz w:val="32"/>
          <w:szCs w:val="32"/>
          <w:highlight w:val="none"/>
          <w:lang w:val="en-US" w:eastAsia="zh-CN" w:bidi="ar-SA"/>
        </w:rPr>
      </w:pPr>
      <w:r>
        <w:rPr>
          <w:rFonts w:hint="eastAsia" w:ascii="仿宋_GB2312" w:hAnsi="Calibri" w:eastAsia="仿宋_GB2312" w:cs="Times New Roman"/>
          <w:color w:val="auto"/>
          <w:kern w:val="2"/>
          <w:sz w:val="32"/>
          <w:szCs w:val="32"/>
          <w:highlight w:val="none"/>
          <w:lang w:val="en-US" w:eastAsia="zh-CN" w:bidi="ar-SA"/>
        </w:rPr>
        <w:t>3.内部构造：树根部整平、灰土夯实、防锈钢质分隔条预埋、满铺植草格、小粒径碎石铺面（5–10 mm)</w:t>
      </w:r>
    </w:p>
    <w:tbl>
      <w:tblPr>
        <w:tblStyle w:val="3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left w:w="108" w:type="dxa"/>
          <w:right w:w="108" w:type="dxa"/>
        </w:tblCellMar>
      </w:tblPr>
      <w:tblGrid>
        <w:gridCol w:w="4261"/>
        <w:gridCol w:w="4261"/>
      </w:tblGrid>
      <w:tr w14:paraId="458999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236" w:hRule="atLeast"/>
        </w:trPr>
        <w:tc>
          <w:tcPr>
            <w:tcW w:w="4261" w:type="dxa"/>
            <w:tcBorders>
              <w:top w:val="nil"/>
              <w:left w:val="nil"/>
              <w:bottom w:val="nil"/>
              <w:right w:val="nil"/>
            </w:tcBorders>
          </w:tcPr>
          <w:p w14:paraId="7A6451F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left"/>
              <w:textAlignment w:val="auto"/>
              <w:rPr>
                <w:rFonts w:hint="eastAsia" w:ascii="仿宋_GB2312" w:hAnsi="Calibri" w:eastAsia="仿宋_GB2312" w:cs="Times New Roman"/>
                <w:color w:val="auto"/>
                <w:kern w:val="2"/>
                <w:sz w:val="32"/>
                <w:szCs w:val="32"/>
                <w:highlight w:val="none"/>
                <w:vertAlign w:val="baseline"/>
                <w:lang w:val="en-US" w:eastAsia="zh-CN" w:bidi="ar-SA"/>
              </w:rPr>
            </w:pPr>
            <w:r>
              <w:rPr>
                <w:rFonts w:hint="eastAsia" w:ascii="仿宋_GB2312" w:hAnsi="Calibri" w:eastAsia="仿宋_GB2312" w:cs="Times New Roman"/>
                <w:color w:val="auto"/>
                <w:kern w:val="2"/>
                <w:sz w:val="32"/>
                <w:szCs w:val="32"/>
                <w:highlight w:val="none"/>
                <w:lang w:val="en-US" w:eastAsia="zh-CN" w:bidi="ar-SA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-40005</wp:posOffset>
                  </wp:positionH>
                  <wp:positionV relativeFrom="paragraph">
                    <wp:posOffset>85725</wp:posOffset>
                  </wp:positionV>
                  <wp:extent cx="2668270" cy="2520315"/>
                  <wp:effectExtent l="0" t="0" r="17780" b="13335"/>
                  <wp:wrapSquare wrapText="bothSides"/>
                  <wp:docPr id="1" name="图片 1" descr="4c481cba33a4d34ac8056fbcb66f9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4c481cba33a4d34ac8056fbcb66f937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 l="33648" b="70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8270" cy="2520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261" w:type="dxa"/>
            <w:tcBorders>
              <w:top w:val="nil"/>
              <w:left w:val="nil"/>
              <w:bottom w:val="nil"/>
              <w:right w:val="nil"/>
            </w:tcBorders>
          </w:tcPr>
          <w:p w14:paraId="5B82826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left"/>
              <w:textAlignment w:val="auto"/>
              <w:rPr>
                <w:rFonts w:hint="eastAsia" w:ascii="仿宋_GB2312" w:hAnsi="Calibri" w:eastAsia="仿宋_GB2312" w:cs="Times New Roman"/>
                <w:color w:val="auto"/>
                <w:kern w:val="2"/>
                <w:sz w:val="32"/>
                <w:szCs w:val="32"/>
                <w:highlight w:val="none"/>
                <w:vertAlign w:val="baseline"/>
                <w:lang w:val="en-US" w:eastAsia="zh-CN" w:bidi="ar-SA"/>
              </w:rPr>
            </w:pPr>
            <w:r>
              <w:rPr>
                <w:rFonts w:hint="eastAsia" w:ascii="仿宋_GB2312" w:hAnsi="Calibri" w:eastAsia="仿宋_GB2312" w:cs="Times New Roman"/>
                <w:color w:val="auto"/>
                <w:kern w:val="2"/>
                <w:sz w:val="32"/>
                <w:szCs w:val="32"/>
                <w:highlight w:val="none"/>
                <w:vertAlign w:val="baseline"/>
                <w:lang w:val="en-US" w:eastAsia="zh-CN" w:bidi="ar-SA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15875</wp:posOffset>
                  </wp:positionH>
                  <wp:positionV relativeFrom="paragraph">
                    <wp:posOffset>76200</wp:posOffset>
                  </wp:positionV>
                  <wp:extent cx="2561590" cy="2531745"/>
                  <wp:effectExtent l="0" t="0" r="10160" b="1905"/>
                  <wp:wrapSquare wrapText="bothSides"/>
                  <wp:docPr id="3" name="图片 3" descr="459d8b90a7663aaba64108eb47db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459d8b90a7663aaba64108eb47db130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1590" cy="25317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3B69FA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c>
          <w:tcPr>
            <w:tcW w:w="4261" w:type="dxa"/>
            <w:tcBorders>
              <w:top w:val="nil"/>
              <w:left w:val="nil"/>
              <w:bottom w:val="nil"/>
              <w:right w:val="nil"/>
            </w:tcBorders>
          </w:tcPr>
          <w:p w14:paraId="3D73E6A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default" w:ascii="仿宋_GB2312" w:hAnsi="Calibri" w:eastAsia="仿宋_GB2312" w:cs="Times New Roman"/>
                <w:color w:val="auto"/>
                <w:kern w:val="2"/>
                <w:sz w:val="32"/>
                <w:szCs w:val="32"/>
                <w:highlight w:val="none"/>
                <w:vertAlign w:val="baseline"/>
                <w:lang w:val="en-US" w:eastAsia="zh-CN" w:bidi="ar-SA"/>
              </w:rPr>
            </w:pPr>
            <w:r>
              <w:rPr>
                <w:rFonts w:hint="eastAsia" w:ascii="黑体" w:hAnsi="黑体" w:eastAsia="黑体" w:cs="黑体"/>
                <w:color w:val="auto"/>
                <w:kern w:val="2"/>
                <w:sz w:val="28"/>
                <w:szCs w:val="28"/>
                <w:lang w:val="en-US" w:eastAsia="zh-CN" w:bidi="ar-SA"/>
              </w:rPr>
              <w:t>树池示意图</w:t>
            </w:r>
          </w:p>
        </w:tc>
        <w:tc>
          <w:tcPr>
            <w:tcW w:w="4261" w:type="dxa"/>
            <w:tcBorders>
              <w:top w:val="nil"/>
              <w:left w:val="nil"/>
              <w:bottom w:val="nil"/>
              <w:right w:val="nil"/>
            </w:tcBorders>
          </w:tcPr>
          <w:p w14:paraId="60679B1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default" w:ascii="仿宋_GB2312" w:hAnsi="Calibri" w:eastAsia="仿宋_GB2312" w:cs="Times New Roman"/>
                <w:color w:val="auto"/>
                <w:kern w:val="2"/>
                <w:sz w:val="32"/>
                <w:szCs w:val="32"/>
                <w:highlight w:val="none"/>
                <w:vertAlign w:val="baseline"/>
                <w:lang w:val="en-US" w:eastAsia="zh-CN" w:bidi="ar-SA"/>
              </w:rPr>
            </w:pPr>
            <w:r>
              <w:rPr>
                <w:rFonts w:hint="eastAsia" w:ascii="黑体" w:hAnsi="黑体" w:eastAsia="黑体" w:cs="黑体"/>
                <w:color w:val="auto"/>
                <w:kern w:val="2"/>
                <w:sz w:val="28"/>
                <w:szCs w:val="28"/>
                <w:lang w:val="en-US" w:eastAsia="zh-CN" w:bidi="ar-SA"/>
              </w:rPr>
              <w:t>小粒径碎石示意图</w:t>
            </w:r>
          </w:p>
        </w:tc>
      </w:tr>
    </w:tbl>
    <w:p w14:paraId="23AC299A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5"/>
        <w:jc w:val="left"/>
        <w:textAlignment w:val="auto"/>
        <w:rPr>
          <w:rFonts w:hint="eastAsia" w:ascii="仿宋_GB2312" w:hAnsi="Calibri" w:eastAsia="仿宋_GB2312" w:cs="Times New Roman"/>
          <w:color w:val="auto"/>
          <w:kern w:val="2"/>
          <w:sz w:val="32"/>
          <w:szCs w:val="32"/>
          <w:highlight w:val="none"/>
          <w:lang w:val="en-US" w:eastAsia="zh-CN" w:bidi="ar-SA"/>
        </w:rPr>
      </w:pPr>
      <w:r>
        <w:rPr>
          <w:rFonts w:hint="eastAsia" w:ascii="仿宋_GB2312" w:hAnsi="Calibri" w:eastAsia="仿宋_GB2312" w:cs="Times New Roman"/>
          <w:color w:val="auto"/>
          <w:kern w:val="2"/>
          <w:sz w:val="32"/>
          <w:szCs w:val="32"/>
          <w:highlight w:val="none"/>
          <w:lang w:val="en-US" w:eastAsia="zh-CN" w:bidi="ar-SA"/>
        </w:rPr>
        <w:t>（说明：树池外圈整圈预埋防锈钢质 L 型窄款分隔条，作为硬边界，分隔外侧PC砖与内侧碎石树池区。树池顶面与人行道 PC 仿石砖同标高平齐，无错台、无积水）。</w:t>
      </w:r>
    </w:p>
    <w:p w14:paraId="7E7799D4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jc w:val="left"/>
        <w:textAlignment w:val="auto"/>
        <w:rPr>
          <w:rFonts w:hint="eastAsia" w:ascii="黑体" w:hAnsi="宋体" w:eastAsia="黑体" w:cs="Times New Roman"/>
          <w:color w:val="auto"/>
          <w:kern w:val="2"/>
          <w:sz w:val="32"/>
          <w:szCs w:val="32"/>
          <w:lang w:val="en-US" w:eastAsia="zh-CN" w:bidi="ar-SA"/>
        </w:rPr>
      </w:pPr>
      <w:r>
        <w:rPr>
          <w:rFonts w:hint="eastAsia" w:ascii="黑体" w:hAnsi="宋体" w:eastAsia="黑体" w:cs="Times New Roman"/>
          <w:color w:val="auto"/>
          <w:kern w:val="2"/>
          <w:sz w:val="32"/>
          <w:szCs w:val="32"/>
          <w:lang w:val="en-US" w:eastAsia="zh-CN" w:bidi="ar-SA"/>
        </w:rPr>
        <w:t>三、施工技术流程</w:t>
      </w:r>
    </w:p>
    <w:p w14:paraId="6D9E08E0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5"/>
        <w:jc w:val="left"/>
        <w:textAlignment w:val="auto"/>
        <w:rPr>
          <w:rFonts w:hint="eastAsia" w:ascii="仿宋_GB2312" w:hAnsi="Calibri" w:eastAsia="仿宋_GB2312" w:cs="Times New Roman"/>
          <w:color w:val="auto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Calibri" w:eastAsia="仿宋_GB2312" w:cs="Times New Roman"/>
          <w:color w:val="auto"/>
          <w:kern w:val="2"/>
          <w:sz w:val="32"/>
          <w:szCs w:val="32"/>
          <w:lang w:val="en-US" w:eastAsia="zh-CN" w:bidi="ar-SA"/>
        </w:rPr>
        <w:t>整体按照拆除→基层处理→垫层施工→面层铺装→道牙安装→树池及分割条施工→成品清理保护标准化流程实施：</w:t>
      </w:r>
    </w:p>
    <w:p w14:paraId="13C6BC5F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5"/>
        <w:jc w:val="left"/>
        <w:textAlignment w:val="auto"/>
        <w:rPr>
          <w:rFonts w:hint="eastAsia" w:ascii="仿宋_GB2312" w:hAnsi="Calibri" w:eastAsia="仿宋_GB2312" w:cs="Times New Roman"/>
          <w:color w:val="auto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Calibri" w:eastAsia="仿宋_GB2312" w:cs="Times New Roman"/>
          <w:color w:val="auto"/>
          <w:kern w:val="2"/>
          <w:sz w:val="32"/>
          <w:szCs w:val="32"/>
          <w:lang w:val="en-US" w:eastAsia="zh-CN" w:bidi="ar-SA"/>
        </w:rPr>
        <w:t>1.拆除清运：拆除旧地砖、砼垫层、灰土层、旧道牙、旧树套，垃圾密闭外运。</w:t>
      </w:r>
    </w:p>
    <w:p w14:paraId="14E49AA0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5"/>
        <w:jc w:val="left"/>
        <w:textAlignment w:val="auto"/>
        <w:rPr>
          <w:rFonts w:hint="eastAsia" w:ascii="仿宋_GB2312" w:hAnsi="Calibri" w:eastAsia="仿宋_GB2312" w:cs="Times New Roman"/>
          <w:color w:val="auto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Calibri" w:eastAsia="仿宋_GB2312" w:cs="Times New Roman"/>
          <w:color w:val="auto"/>
          <w:kern w:val="2"/>
          <w:sz w:val="32"/>
          <w:szCs w:val="32"/>
          <w:lang w:val="en-US" w:eastAsia="zh-CN" w:bidi="ar-SA"/>
        </w:rPr>
        <w:t>2.基层处理：素土夯实，密实度≥85%，保证路基稳定。</w:t>
      </w:r>
    </w:p>
    <w:p w14:paraId="6AECE711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5"/>
        <w:jc w:val="left"/>
        <w:textAlignment w:val="auto"/>
        <w:rPr>
          <w:rFonts w:hint="eastAsia" w:ascii="仿宋_GB2312" w:hAnsi="Calibri" w:eastAsia="仿宋_GB2312" w:cs="Times New Roman"/>
          <w:color w:val="auto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Calibri" w:eastAsia="仿宋_GB2312" w:cs="Times New Roman"/>
          <w:color w:val="auto"/>
          <w:kern w:val="2"/>
          <w:sz w:val="32"/>
          <w:szCs w:val="32"/>
          <w:lang w:val="en-US" w:eastAsia="zh-CN" w:bidi="ar-SA"/>
        </w:rPr>
        <w:t>3.垫层施工：</w:t>
      </w:r>
    </w:p>
    <w:p w14:paraId="605F5DB2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5"/>
        <w:jc w:val="left"/>
        <w:textAlignment w:val="auto"/>
        <w:rPr>
          <w:rFonts w:hint="eastAsia" w:ascii="仿宋_GB2312" w:hAnsi="Calibri" w:eastAsia="仿宋_GB2312" w:cs="Times New Roman"/>
          <w:color w:val="auto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Calibri" w:eastAsia="仿宋_GB2312" w:cs="Times New Roman"/>
          <w:color w:val="auto"/>
          <w:kern w:val="2"/>
          <w:sz w:val="32"/>
          <w:szCs w:val="32"/>
          <w:lang w:val="en-US" w:eastAsia="zh-CN" w:bidi="ar-SA"/>
        </w:rPr>
        <w:t>地砖铺设区域：</w:t>
      </w:r>
      <w:bookmarkStart w:id="0" w:name="_GoBack"/>
      <w:r>
        <w:rPr>
          <w:rFonts w:hint="eastAsia" w:ascii="仿宋_GB2312" w:hAnsi="Calibri" w:eastAsia="仿宋_GB2312" w:cs="Times New Roman"/>
          <w:color w:val="auto"/>
          <w:kern w:val="2"/>
          <w:sz w:val="32"/>
          <w:szCs w:val="32"/>
          <w:lang w:val="en-US" w:eastAsia="zh-CN" w:bidi="ar-SA"/>
        </w:rPr>
        <w:t>2:8 灰土垫层，分两匹摊铺、分层夯实，压实度≥85%</w:t>
      </w:r>
      <w:bookmarkEnd w:id="0"/>
      <w:r>
        <w:rPr>
          <w:rFonts w:hint="eastAsia" w:ascii="仿宋_GB2312" w:hAnsi="Calibri" w:eastAsia="仿宋_GB2312" w:cs="Times New Roman"/>
          <w:color w:val="auto"/>
          <w:kern w:val="2"/>
          <w:sz w:val="32"/>
          <w:szCs w:val="32"/>
          <w:lang w:val="en-US" w:eastAsia="zh-CN" w:bidi="ar-SA"/>
        </w:rPr>
        <w:t>→浇筑100厚C15混凝土垫层，找平收光。</w:t>
      </w:r>
    </w:p>
    <w:p w14:paraId="75AF9379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jc w:val="left"/>
        <w:textAlignment w:val="auto"/>
        <w:rPr>
          <w:rFonts w:hint="default" w:ascii="仿宋_GB2312" w:hAnsi="Calibri" w:eastAsia="仿宋_GB2312" w:cs="Times New Roman"/>
          <w:color w:val="auto"/>
          <w:kern w:val="2"/>
          <w:sz w:val="32"/>
          <w:szCs w:val="32"/>
          <w:highlight w:val="none"/>
          <w:lang w:val="en-US" w:eastAsia="zh-CN" w:bidi="ar-SA"/>
        </w:rPr>
      </w:pPr>
      <w:r>
        <w:rPr>
          <w:rFonts w:hint="eastAsia" w:ascii="仿宋_GB2312" w:hAnsi="Calibri" w:eastAsia="仿宋_GB2312" w:cs="Times New Roman"/>
          <w:color w:val="auto"/>
          <w:kern w:val="2"/>
          <w:sz w:val="32"/>
          <w:szCs w:val="32"/>
          <w:highlight w:val="none"/>
          <w:lang w:val="en-US" w:eastAsia="zh-CN" w:bidi="ar-SA"/>
        </w:rPr>
        <w:t>树池区域：开挖清底→素土夯实  → 预埋防锈钢质 L 型分隔条固定 → 灰土夯实→ 树池内部整形 → 满铺标准植草格 → 浅铺小粒径碎石（5-10mm) → 与周边 PC 砖收口顺直、清理整形</w:t>
      </w:r>
    </w:p>
    <w:p w14:paraId="4812E915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5"/>
        <w:jc w:val="left"/>
        <w:textAlignment w:val="auto"/>
        <w:rPr>
          <w:rFonts w:hint="eastAsia" w:ascii="仿宋_GB2312" w:hAnsi="Calibri" w:eastAsia="仿宋_GB2312" w:cs="Times New Roman"/>
          <w:color w:val="auto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Calibri" w:eastAsia="仿宋_GB2312" w:cs="Times New Roman"/>
          <w:color w:val="auto"/>
          <w:kern w:val="2"/>
          <w:sz w:val="32"/>
          <w:szCs w:val="32"/>
          <w:lang w:val="en-US" w:eastAsia="zh-CN" w:bidi="ar-SA"/>
        </w:rPr>
        <w:t>4.面层铺装：30厚1:6干硬性水泥砂浆找平，300×600×60mmPC砖纵向工字铺贴，粗砂扫缝、洒水封缝。</w:t>
      </w:r>
    </w:p>
    <w:p w14:paraId="42B9118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5"/>
        <w:jc w:val="left"/>
        <w:textAlignment w:val="auto"/>
        <w:rPr>
          <w:rFonts w:hint="eastAsia" w:ascii="仿宋_GB2312" w:hAnsi="Calibri" w:eastAsia="仿宋_GB2312" w:cs="Times New Roman"/>
          <w:color w:val="auto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Calibri" w:eastAsia="仿宋_GB2312" w:cs="Times New Roman"/>
          <w:color w:val="auto"/>
          <w:kern w:val="2"/>
          <w:sz w:val="32"/>
          <w:szCs w:val="32"/>
          <w:lang w:val="en-US" w:eastAsia="zh-CN" w:bidi="ar-SA"/>
        </w:rPr>
        <w:t>5.配套施工：更换内外道牙→安装树池钢质分隔条+植草格+碎石→成品保护与场地清理。</w:t>
      </w:r>
    </w:p>
    <w:p w14:paraId="72CC8BC4">
      <w:pPr>
        <w:ind w:firstLine="640" w:firstLineChars="200"/>
        <w:rPr>
          <w:rFonts w:hint="eastAsia" w:ascii="黑体" w:hAnsi="宋体" w:eastAsia="黑体" w:cs="Times New Roman"/>
          <w:color w:val="000000"/>
          <w:sz w:val="32"/>
          <w:szCs w:val="32"/>
          <w:lang w:val="en-US" w:eastAsia="zh-CN"/>
        </w:rPr>
      </w:pPr>
      <w:r>
        <w:rPr>
          <w:rFonts w:hint="eastAsia" w:ascii="黑体" w:hAnsi="宋体" w:eastAsia="黑体" w:cs="Times New Roman"/>
          <w:color w:val="000000"/>
          <w:sz w:val="32"/>
          <w:szCs w:val="32"/>
          <w:lang w:val="en-US" w:eastAsia="zh-CN"/>
        </w:rPr>
        <w:t>四、工程质量要求及竣工验收</w:t>
      </w:r>
    </w:p>
    <w:p w14:paraId="5A85BAF6">
      <w:pPr>
        <w:spacing w:line="560" w:lineRule="exact"/>
        <w:ind w:firstLine="640" w:firstLineChars="200"/>
        <w:jc w:val="left"/>
        <w:rPr>
          <w:rFonts w:hint="eastAsia" w:ascii="仿宋_GB2312" w:hAnsi="Calibri" w:eastAsia="仿宋_GB2312" w:cs="Times New Roman"/>
          <w:color w:val="000000"/>
          <w:sz w:val="32"/>
          <w:szCs w:val="32"/>
          <w:lang w:val="en-US" w:eastAsia="zh-CN"/>
        </w:rPr>
      </w:pPr>
      <w:r>
        <w:rPr>
          <w:rFonts w:hint="eastAsia" w:ascii="仿宋_GB2312" w:hAnsi="Calibri" w:eastAsia="仿宋_GB2312" w:cs="Times New Roman"/>
          <w:color w:val="000000"/>
          <w:sz w:val="32"/>
          <w:szCs w:val="32"/>
          <w:lang w:val="en-US" w:eastAsia="zh-CN"/>
        </w:rPr>
        <w:t>1.成交供应商须严格按照现行国家规范、行业标准组织施工，无国家标准时执行最新行业标准，采用合规施工工艺，确保工程质量。</w:t>
      </w:r>
    </w:p>
    <w:p w14:paraId="4806001C">
      <w:pPr>
        <w:spacing w:line="560" w:lineRule="exact"/>
        <w:ind w:firstLine="640" w:firstLineChars="200"/>
        <w:jc w:val="left"/>
        <w:rPr>
          <w:rFonts w:hint="eastAsia" w:ascii="仿宋_GB2312" w:hAnsi="Calibri" w:eastAsia="仿宋_GB2312" w:cs="Times New Roman"/>
          <w:color w:val="000000"/>
          <w:sz w:val="32"/>
          <w:szCs w:val="32"/>
          <w:lang w:val="en-US" w:eastAsia="zh-CN"/>
        </w:rPr>
      </w:pPr>
      <w:r>
        <w:rPr>
          <w:rFonts w:hint="eastAsia" w:ascii="仿宋_GB2312" w:hAnsi="Calibri" w:eastAsia="仿宋_GB2312" w:cs="Times New Roman"/>
          <w:color w:val="000000"/>
          <w:sz w:val="32"/>
          <w:szCs w:val="32"/>
          <w:lang w:val="en-US" w:eastAsia="zh-CN"/>
        </w:rPr>
        <w:t>2.工程所用材料与施工工艺均符合本需求书及国家现行规范、标准，供应商须提供材料出厂合格证、检测报告等完整资料。</w:t>
      </w:r>
    </w:p>
    <w:p w14:paraId="6FE8FE26">
      <w:pPr>
        <w:spacing w:line="560" w:lineRule="exact"/>
        <w:ind w:firstLine="640" w:firstLineChars="200"/>
        <w:jc w:val="left"/>
        <w:rPr>
          <w:rFonts w:hint="eastAsia" w:ascii="仿宋_GB2312" w:hAnsi="Calibri" w:eastAsia="仿宋_GB2312" w:cs="Times New Roman"/>
          <w:color w:val="000000"/>
          <w:sz w:val="32"/>
          <w:szCs w:val="32"/>
          <w:lang w:val="en-US" w:eastAsia="zh-CN"/>
        </w:rPr>
      </w:pPr>
      <w:r>
        <w:rPr>
          <w:rFonts w:hint="eastAsia" w:ascii="仿宋_GB2312" w:hAnsi="Calibri" w:eastAsia="仿宋_GB2312" w:cs="Times New Roman"/>
          <w:color w:val="000000"/>
          <w:sz w:val="32"/>
          <w:szCs w:val="32"/>
          <w:lang w:val="en-US" w:eastAsia="zh-CN"/>
        </w:rPr>
        <w:t>3.PC 仿石砖铺装平整、牢固、无松动、无开裂、无积水，透水性能满足海绵城市建设要求；道牙安装顺直、稳固，与铺装衔接规整；树池施工规范，分隔条顺直、植草格与碎石铺设均匀，与人行道平齐无错台；树根隆起、检查井等特殊节点处理到位，无通行安全隐患。</w:t>
      </w:r>
    </w:p>
    <w:p w14:paraId="0685682B">
      <w:pPr>
        <w:spacing w:line="560" w:lineRule="exact"/>
        <w:ind w:firstLine="640" w:firstLineChars="200"/>
        <w:jc w:val="left"/>
        <w:rPr>
          <w:rFonts w:hint="eastAsia" w:ascii="仿宋_GB2312" w:hAnsi="Calibri" w:eastAsia="仿宋_GB2312" w:cs="Times New Roman"/>
          <w:color w:val="000000"/>
          <w:sz w:val="32"/>
          <w:szCs w:val="32"/>
          <w:lang w:val="en-US" w:eastAsia="zh-CN"/>
        </w:rPr>
      </w:pPr>
      <w:r>
        <w:rPr>
          <w:rFonts w:hint="eastAsia" w:ascii="仿宋_GB2312" w:hAnsi="Calibri" w:eastAsia="仿宋_GB2312" w:cs="Times New Roman"/>
          <w:color w:val="000000"/>
          <w:sz w:val="32"/>
          <w:szCs w:val="32"/>
          <w:lang w:val="en-US" w:eastAsia="zh-CN"/>
        </w:rPr>
        <w:t>4.所交付工程未达到投标承诺、施工质量不合格或使用不符合要求材料的，采购人有权要求限期整改；整改后仍不满足约定标准的，采购人有权解除采购合同，并将有关情况上报政府采购监管部门处理。</w:t>
      </w:r>
    </w:p>
    <w:p w14:paraId="31CE2F3D">
      <w:pPr>
        <w:spacing w:line="560" w:lineRule="exact"/>
        <w:ind w:firstLine="640" w:firstLineChars="200"/>
        <w:jc w:val="left"/>
        <w:rPr>
          <w:rFonts w:hint="eastAsia" w:ascii="仿宋_GB2312" w:hAnsi="Calibri" w:eastAsia="仿宋_GB2312" w:cs="Times New Roman"/>
          <w:color w:val="000000"/>
          <w:sz w:val="32"/>
          <w:szCs w:val="32"/>
          <w:lang w:val="en-US" w:eastAsia="zh-CN"/>
        </w:rPr>
      </w:pPr>
      <w:r>
        <w:rPr>
          <w:rFonts w:hint="eastAsia" w:ascii="仿宋_GB2312" w:hAnsi="Calibri" w:eastAsia="仿宋_GB2312" w:cs="Times New Roman"/>
          <w:color w:val="000000"/>
          <w:sz w:val="32"/>
          <w:szCs w:val="32"/>
          <w:lang w:val="en-US" w:eastAsia="zh-CN"/>
        </w:rPr>
        <w:t>5.工程质量须达到国家现行城镇道路工程、人行道铺装工程施工质量验收规范合格标准，满足采购文件、合同及校园人行使用要求，由采购人组织现场验收。</w:t>
      </w:r>
    </w:p>
    <w:p w14:paraId="39DD252F">
      <w:pPr>
        <w:spacing w:line="560" w:lineRule="exact"/>
        <w:ind w:firstLine="640" w:firstLineChars="200"/>
        <w:jc w:val="left"/>
        <w:rPr>
          <w:rFonts w:hint="default" w:ascii="仿宋_GB2312" w:hAnsi="Calibri" w:eastAsia="仿宋_GB2312" w:cs="Times New Roman"/>
          <w:color w:val="000000"/>
          <w:sz w:val="32"/>
          <w:szCs w:val="32"/>
          <w:lang w:val="en-US" w:eastAsia="zh-CN"/>
        </w:rPr>
      </w:pPr>
      <w:r>
        <w:rPr>
          <w:rFonts w:hint="eastAsia" w:ascii="黑体" w:hAnsi="宋体" w:eastAsia="黑体" w:cs="Times New Roman"/>
          <w:color w:val="000000"/>
          <w:sz w:val="32"/>
          <w:szCs w:val="32"/>
          <w:lang w:val="en-US" w:eastAsia="zh-CN"/>
        </w:rPr>
        <w:t>五、工期：</w:t>
      </w:r>
      <w:r>
        <w:rPr>
          <w:rFonts w:hint="eastAsia" w:ascii="仿宋_GB2312" w:hAnsi="Calibri" w:eastAsia="仿宋_GB2312" w:cs="Times New Roman"/>
          <w:color w:val="000000"/>
          <w:sz w:val="32"/>
          <w:szCs w:val="32"/>
          <w:lang w:val="en-US" w:eastAsia="zh-CN"/>
        </w:rPr>
        <w:t>自合同签订之日起</w:t>
      </w:r>
      <w:r>
        <w:rPr>
          <w:rFonts w:hint="eastAsia" w:ascii="仿宋_GB2312" w:hAnsi="Calibri" w:eastAsia="仿宋_GB2312" w:cs="Times New Roman"/>
          <w:b/>
          <w:bCs/>
          <w:color w:val="000000"/>
          <w:sz w:val="32"/>
          <w:szCs w:val="32"/>
          <w:lang w:val="en-US" w:eastAsia="zh-CN"/>
        </w:rPr>
        <w:t>45个日历天</w:t>
      </w:r>
      <w:r>
        <w:rPr>
          <w:rFonts w:hint="eastAsia" w:ascii="仿宋_GB2312" w:hAnsi="Calibri" w:eastAsia="仿宋_GB2312" w:cs="Times New Roman"/>
          <w:color w:val="000000"/>
          <w:sz w:val="32"/>
          <w:szCs w:val="32"/>
          <w:lang w:val="en-US" w:eastAsia="zh-CN"/>
        </w:rPr>
        <w:t>内完成工程内容</w:t>
      </w:r>
    </w:p>
    <w:p w14:paraId="3704BEE5">
      <w:pPr>
        <w:spacing w:line="560" w:lineRule="exact"/>
        <w:ind w:firstLine="640" w:firstLineChars="200"/>
        <w:jc w:val="left"/>
        <w:rPr>
          <w:rFonts w:hint="default" w:ascii="黑体" w:hAnsi="宋体" w:eastAsia="黑体" w:cs="Times New Roman"/>
          <w:color w:val="000000"/>
          <w:sz w:val="32"/>
          <w:szCs w:val="32"/>
          <w:lang w:val="en-US" w:eastAsia="zh-CN"/>
        </w:rPr>
      </w:pPr>
      <w:r>
        <w:rPr>
          <w:rFonts w:hint="eastAsia" w:ascii="黑体" w:hAnsi="宋体" w:eastAsia="黑体" w:cs="Times New Roman"/>
          <w:color w:val="000000"/>
          <w:sz w:val="32"/>
          <w:szCs w:val="32"/>
          <w:lang w:val="en-US" w:eastAsia="zh-CN"/>
        </w:rPr>
        <w:t>六、质量保修期：24个月</w:t>
      </w:r>
    </w:p>
    <w:p w14:paraId="7C580086">
      <w:pPr>
        <w:spacing w:line="560" w:lineRule="exact"/>
        <w:ind w:firstLine="640" w:firstLineChars="200"/>
        <w:jc w:val="left"/>
        <w:rPr>
          <w:rFonts w:hint="eastAsia" w:ascii="黑体" w:hAnsi="宋体" w:eastAsia="黑体" w:cs="Times New Roman"/>
          <w:color w:val="000000"/>
          <w:sz w:val="32"/>
          <w:szCs w:val="32"/>
          <w:lang w:val="en-US" w:eastAsia="zh-CN"/>
        </w:rPr>
      </w:pPr>
      <w:r>
        <w:rPr>
          <w:rFonts w:hint="eastAsia" w:ascii="黑体" w:hAnsi="宋体" w:eastAsia="黑体" w:cs="Times New Roman"/>
          <w:color w:val="000000"/>
          <w:sz w:val="32"/>
          <w:szCs w:val="32"/>
          <w:lang w:val="en-US" w:eastAsia="zh-CN"/>
        </w:rPr>
        <w:t>七、项目预算：892500元</w:t>
      </w:r>
    </w:p>
    <w:p w14:paraId="66C172AF">
      <w:pPr>
        <w:spacing w:line="560" w:lineRule="exact"/>
        <w:ind w:firstLine="640" w:firstLineChars="200"/>
        <w:jc w:val="left"/>
        <w:rPr>
          <w:rFonts w:hint="eastAsia" w:ascii="黑体" w:hAnsi="宋体" w:eastAsia="黑体" w:cs="Times New Roman"/>
          <w:color w:val="000000"/>
          <w:sz w:val="32"/>
          <w:szCs w:val="32"/>
          <w:lang w:val="en-US" w:eastAsia="zh-CN"/>
        </w:rPr>
      </w:pPr>
    </w:p>
    <w:p w14:paraId="01A804BC">
      <w:pPr>
        <w:spacing w:line="560" w:lineRule="exact"/>
        <w:ind w:firstLine="640" w:firstLineChars="200"/>
        <w:jc w:val="left"/>
        <w:rPr>
          <w:rFonts w:hint="default" w:ascii="黑体" w:hAnsi="宋体" w:eastAsia="黑体" w:cs="Times New Roman"/>
          <w:color w:val="000000"/>
          <w:sz w:val="32"/>
          <w:szCs w:val="32"/>
          <w:lang w:val="en-US" w:eastAsia="zh-CN"/>
        </w:rPr>
      </w:pPr>
    </w:p>
    <w:p w14:paraId="4827AFD3">
      <w:pPr>
        <w:spacing w:line="560" w:lineRule="exact"/>
        <w:ind w:firstLine="5120" w:firstLineChars="1600"/>
        <w:jc w:val="left"/>
        <w:rPr>
          <w:rFonts w:hint="default" w:ascii="仿宋_GB2312" w:hAnsi="Calibri" w:eastAsia="仿宋_GB2312" w:cs="Times New Roman"/>
          <w:color w:val="000000"/>
          <w:sz w:val="32"/>
          <w:szCs w:val="32"/>
          <w:lang w:val="en-US" w:eastAsia="zh-CN"/>
        </w:rPr>
      </w:pPr>
      <w:r>
        <w:rPr>
          <w:rFonts w:hint="eastAsia" w:ascii="仿宋_GB2312" w:hAnsi="Calibri" w:eastAsia="仿宋_GB2312" w:cs="Times New Roman"/>
          <w:color w:val="000000"/>
          <w:sz w:val="32"/>
          <w:szCs w:val="32"/>
          <w:lang w:val="en-US" w:eastAsia="zh-CN"/>
        </w:rPr>
        <w:t xml:space="preserve">                             </w:t>
      </w:r>
    </w:p>
    <w:sectPr>
      <w:pgSz w:w="11906" w:h="16838"/>
      <w:pgMar w:top="1440" w:right="1800" w:bottom="1440" w:left="1800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077CD91D-9652-4210-9E0E-09638F3B7C82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2" w:fontKey="{E154AFD2-8BF9-4672-AAB6-F0E6C2208A55}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3" w:fontKey="{C52B0995-CAB1-41FC-8C37-8B4AE52005E7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4" w:fontKey="{D91CC879-427D-43C2-B749-11B103D28CFF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saveSubset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mM0YmFjZmMxZDFkOGM2NjNkYjRkMWI3ZDE3NzkyYjYifQ=="/>
  </w:docVars>
  <w:rsids>
    <w:rsidRoot w:val="6F0635C5"/>
    <w:rsid w:val="07C06293"/>
    <w:rsid w:val="09B0476C"/>
    <w:rsid w:val="0B697B29"/>
    <w:rsid w:val="0D224C0A"/>
    <w:rsid w:val="0EC41B71"/>
    <w:rsid w:val="1441006B"/>
    <w:rsid w:val="16D217C5"/>
    <w:rsid w:val="181C187B"/>
    <w:rsid w:val="1C962F1E"/>
    <w:rsid w:val="1D4B3657"/>
    <w:rsid w:val="242F7432"/>
    <w:rsid w:val="2C254FE6"/>
    <w:rsid w:val="305B7A51"/>
    <w:rsid w:val="33B10912"/>
    <w:rsid w:val="34872615"/>
    <w:rsid w:val="3EF44FD4"/>
    <w:rsid w:val="40D00770"/>
    <w:rsid w:val="46A14816"/>
    <w:rsid w:val="47451653"/>
    <w:rsid w:val="4E5374A1"/>
    <w:rsid w:val="5A5A4C4A"/>
    <w:rsid w:val="5DB449D7"/>
    <w:rsid w:val="68DB4652"/>
    <w:rsid w:val="69FA5E67"/>
    <w:rsid w:val="6AD4631A"/>
    <w:rsid w:val="6F0635C5"/>
    <w:rsid w:val="6FE906A0"/>
    <w:rsid w:val="7D675F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5">
    <w:name w:val="Strong"/>
    <w:basedOn w:val="4"/>
    <w:qFormat/>
    <w:uiPriority w:val="0"/>
    <w:rPr>
      <w:b/>
    </w:rPr>
  </w:style>
  <w:style w:type="character" w:customStyle="1" w:styleId="6">
    <w:name w:val="font21"/>
    <w:basedOn w:val="4"/>
    <w:qFormat/>
    <w:uiPriority w:val="0"/>
    <w:rPr>
      <w:rFonts w:hint="eastAsia" w:ascii="宋体" w:hAnsi="宋体" w:eastAsia="宋体" w:cs="宋体"/>
      <w:b/>
      <w:bCs/>
      <w:color w:val="000000"/>
      <w:sz w:val="24"/>
      <w:szCs w:val="24"/>
      <w:u w:val="none"/>
    </w:rPr>
  </w:style>
  <w:style w:type="character" w:customStyle="1" w:styleId="7">
    <w:name w:val="font81"/>
    <w:basedOn w:val="4"/>
    <w:qFormat/>
    <w:uiPriority w:val="0"/>
    <w:rPr>
      <w:rFonts w:hint="default" w:ascii="Times New Roman" w:hAnsi="Times New Roman" w:cs="Times New Roman"/>
      <w:color w:val="000000"/>
      <w:sz w:val="22"/>
      <w:szCs w:val="22"/>
      <w:u w:val="none"/>
    </w:rPr>
  </w:style>
  <w:style w:type="paragraph" w:customStyle="1" w:styleId="8">
    <w:name w:val="_Style 13"/>
    <w:qFormat/>
    <w:uiPriority w:val="0"/>
    <w:pPr>
      <w:spacing w:before="120" w:after="120" w:line="288" w:lineRule="auto"/>
      <w:ind w:left="0"/>
      <w:jc w:val="left"/>
    </w:pPr>
    <w:rPr>
      <w:rFonts w:ascii="Arial" w:hAnsi="Arial" w:eastAsia="等线" w:cs="Arial"/>
      <w:sz w:val="22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1845</Words>
  <Characters>1975</Characters>
  <Lines>0</Lines>
  <Paragraphs>0</Paragraphs>
  <TotalTime>18</TotalTime>
  <ScaleCrop>false</ScaleCrop>
  <LinksUpToDate>false</LinksUpToDate>
  <CharactersWithSpaces>2034</CharactersWithSpaces>
  <Application>WPS Office_12.1.0.26375_F1E327BC-269C-435d-A152-05C5408002CA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2024-07-14T03:40:00Z</dcterms:created>
  <dc:creator>关之晨</dc:creator>
  <cp:lastModifiedBy>李</cp:lastModifiedBy>
  <cp:lastPrinted>2026-05-28T03:51:00Z</cp:lastPrinted>
  <dcterms:modified xsi:type="dcterms:W3CDTF">2026-06-01T01:35:43Z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2052-12.1.0.26375</vt:lpwstr>
  </property>
  <property fmtid="{D5CDD505-2E9C-101B-9397-08002B2CF9AE}" pid="3" name="ICV">
    <vt:lpwstr>4D100E3B791E4E0293AE883198AAAC8F_13</vt:lpwstr>
  </property>
  <property fmtid="{D5CDD505-2E9C-101B-9397-08002B2CF9AE}" pid="4" name="KSOTemplateDocerSaveRecord">
    <vt:lpwstr>eyJoZGlkIjoiY2Q3MjM5NTU2MjdmNTFmYTZlNDIzYjAxNjg1MTIxNWUiLCJ1c2VySWQiOiIzMzMzNzg0NjkifQ==</vt:lpwstr>
  </property>
</Properties>
</file>