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版本号：RTZB-2026-202120260624001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长安校区环道周边部分人行道改造工程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RTZB-2026-2021</w:t>
      </w:r>
      <w:r>
        <w:br/>
      </w:r>
      <w:r>
        <w:br/>
      </w:r>
      <w:r>
        <w:br/>
      </w:r>
    </w:p>
    <w:p>
      <w:pPr>
        <w:pStyle w:val="null3"/>
        <w:jc w:val="center"/>
        <w:outlineLvl w:val="2"/>
      </w:pPr>
      <w:r>
        <w:rPr>
          <w:rFonts w:ascii="仿宋_GB2312" w:hAnsi="仿宋_GB2312" w:cs="仿宋_GB2312" w:eastAsia="仿宋_GB2312"/>
          <w:sz w:val="28"/>
          <w:b/>
        </w:rPr>
        <w:t>西北大学</w:t>
      </w:r>
    </w:p>
    <w:p>
      <w:pPr>
        <w:pStyle w:val="null3"/>
        <w:jc w:val="center"/>
        <w:outlineLvl w:val="2"/>
      </w:pPr>
      <w:r>
        <w:rPr>
          <w:rFonts w:ascii="仿宋_GB2312" w:hAnsi="仿宋_GB2312" w:cs="仿宋_GB2312" w:eastAsia="仿宋_GB2312"/>
          <w:sz w:val="28"/>
          <w:b/>
        </w:rPr>
        <w:t>陕西瑞通工程造价咨询有限公司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陕西瑞通工程造价咨询有限公司</w:t>
      </w:r>
      <w:r>
        <w:rPr>
          <w:rFonts w:ascii="仿宋_GB2312" w:hAnsi="仿宋_GB2312" w:cs="仿宋_GB2312" w:eastAsia="仿宋_GB2312"/>
        </w:rPr>
        <w:t>（以下简称“代理机构”）受</w:t>
      </w:r>
      <w:r>
        <w:rPr>
          <w:rFonts w:ascii="仿宋_GB2312" w:hAnsi="仿宋_GB2312" w:cs="仿宋_GB2312" w:eastAsia="仿宋_GB2312"/>
        </w:rPr>
        <w:t>西北大学</w:t>
      </w:r>
      <w:r>
        <w:rPr>
          <w:rFonts w:ascii="仿宋_GB2312" w:hAnsi="仿宋_GB2312" w:cs="仿宋_GB2312" w:eastAsia="仿宋_GB2312"/>
        </w:rPr>
        <w:t>委托，拟对</w:t>
      </w:r>
      <w:r>
        <w:rPr>
          <w:rFonts w:ascii="仿宋_GB2312" w:hAnsi="仿宋_GB2312" w:cs="仿宋_GB2312" w:eastAsia="仿宋_GB2312"/>
        </w:rPr>
        <w:t>长安校区环道周边部分人行道改造工程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RTZB-2026-2021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长安校区环道周边部分人行道改造工程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为解决西北大学长安校区南环道双侧人行道地砖破损老化、树根拱起、雨天积水、通行安全隐患等问题，践行海绵城市建设理念，对约 3000㎡人行道进行整体改造。更换透水铺装、更新道牙、整治树池，实现消除通行安全隐患、提升校园景观质感、满足海绵城市透水要求、降低长效维护成本的目标，打造整洁、美观、安全、耐用的校园人行空间，适配校园高人流通行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采购包1（长安校区环道周边部分人行道改造工程）：属于专门面向中小企业采购。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主体：提供营业执照/事业单位法人登记证/非企业单位登记证/执业许可证，未提供的接受采购人通过国家企业信用信息公示系统（http://www.gsxt.gov.cn/index.html）进行相关信息的核实，并承担核实不到的后果；自然人提供身份证 。</w:t>
      </w:r>
    </w:p>
    <w:p>
      <w:pPr>
        <w:pStyle w:val="null3"/>
      </w:pPr>
      <w:r>
        <w:rPr>
          <w:rFonts w:ascii="仿宋_GB2312" w:hAnsi="仿宋_GB2312" w:cs="仿宋_GB2312" w:eastAsia="仿宋_GB2312"/>
        </w:rPr>
        <w:t>2、信用证明：未被信用中国网站列入失信被执行人和重大税收违法案件当事人名单、未被中国政府采购网列入政府采购严重违法失信行为记录名单（开标时系统查询），未被各级建设诚信信息平台被列为投标受限制的行为人，参加本次政府采购活动前3年内在经营活动中没有重大违纪，提供书面声明。</w:t>
      </w:r>
    </w:p>
    <w:p>
      <w:pPr>
        <w:pStyle w:val="null3"/>
      </w:pPr>
      <w:r>
        <w:rPr>
          <w:rFonts w:ascii="仿宋_GB2312" w:hAnsi="仿宋_GB2312" w:cs="仿宋_GB2312" w:eastAsia="仿宋_GB2312"/>
        </w:rPr>
        <w:t>3、财务状况：提供2025年度经第三方会计事务所审计过的财务报告，或磋商截止时间前90天内基本账户银行出具的资信证明。注：①提供财务报告的，内容至少包括审计报告、附注。审计报告需具有注册会计师行业统一监管平台（https://acc.mof.gov.cn/）赋予的验证码。②提供资信证明的，必须提供资信证明全部页以及基本户信息（提供开户许可证复印件或提供基本银行账户信息复印件加盖公章）。银行出具的存款证明不能代替资信证明，存款证明无效。</w:t>
      </w:r>
    </w:p>
    <w:p>
      <w:pPr>
        <w:pStyle w:val="null3"/>
      </w:pPr>
      <w:r>
        <w:rPr>
          <w:rFonts w:ascii="仿宋_GB2312" w:hAnsi="仿宋_GB2312" w:cs="仿宋_GB2312" w:eastAsia="仿宋_GB2312"/>
        </w:rPr>
        <w:t>4、纳税凭证：提供2025年6月1日至今至少一个月依法纳税的相关凭证(任意税种)；依法免税或无须缴纳税收的应提供相关证明；成立不足一个月的提供将依法纳税的承诺书(格式自拟)。注:①零报税的提供申报成功的凭证。②时间以税款所属时段为准。</w:t>
      </w:r>
    </w:p>
    <w:p>
      <w:pPr>
        <w:pStyle w:val="null3"/>
      </w:pPr>
      <w:r>
        <w:rPr>
          <w:rFonts w:ascii="仿宋_GB2312" w:hAnsi="仿宋_GB2312" w:cs="仿宋_GB2312" w:eastAsia="仿宋_GB2312"/>
        </w:rPr>
        <w:t>5、社保缴纳凭证：提供2025年6月1日至今至少一个月的社会保障资金缴存凭证或社保机构开具的社会保险参保缴费情况凭证；依法不需要缴纳社会保障资金的提供相关证明；成立不足一个月的提供将依法交纳社会保障资金的承诺书（格式自拟）。注：①通过代缴方式缴存的，需提供链条完整的证明材料，证明材料至少包括代缴方的缴存凭证、投标人向代缴方用于缴存社保的银行转账单据。②供应商可自行打印带有社保机构公章的缴存凭证；提供银行交纳单据的，单据应显示社保缴存项（任一项）。</w:t>
      </w:r>
    </w:p>
    <w:p>
      <w:pPr>
        <w:pStyle w:val="null3"/>
      </w:pPr>
      <w:r>
        <w:rPr>
          <w:rFonts w:ascii="仿宋_GB2312" w:hAnsi="仿宋_GB2312" w:cs="仿宋_GB2312" w:eastAsia="仿宋_GB2312"/>
        </w:rPr>
        <w:t>6、履约能力：提供具有履行本合同所必需的专业技术能力的书面声明。</w:t>
      </w:r>
    </w:p>
    <w:p>
      <w:pPr>
        <w:pStyle w:val="null3"/>
      </w:pPr>
      <w:r>
        <w:rPr>
          <w:rFonts w:ascii="仿宋_GB2312" w:hAnsi="仿宋_GB2312" w:cs="仿宋_GB2312" w:eastAsia="仿宋_GB2312"/>
        </w:rPr>
        <w:t>7、代表人授权：参加磋商的供应商代表需提供提法定代表人证明书和法定代表人授权书。</w:t>
      </w:r>
    </w:p>
    <w:p>
      <w:pPr>
        <w:pStyle w:val="null3"/>
      </w:pPr>
      <w:r>
        <w:rPr>
          <w:rFonts w:ascii="仿宋_GB2312" w:hAnsi="仿宋_GB2312" w:cs="仿宋_GB2312" w:eastAsia="仿宋_GB2312"/>
        </w:rPr>
        <w:t>8、企业资质：具备建筑工程施工总承包三级及以上资质、有效的安全生产许可证。提供资质证书及安全生产许可证。</w:t>
      </w:r>
    </w:p>
    <w:p>
      <w:pPr>
        <w:pStyle w:val="null3"/>
      </w:pPr>
      <w:r>
        <w:rPr>
          <w:rFonts w:ascii="仿宋_GB2312" w:hAnsi="仿宋_GB2312" w:cs="仿宋_GB2312" w:eastAsia="仿宋_GB2312"/>
        </w:rPr>
        <w:t>9、项目经理：拟派项目经理须为供应商单位注册的建筑工程专业二级及以上注册建造师，具有安全生产考核合格证（B证）且无在建工程。提供证书及无在建工程书面声明。</w:t>
      </w:r>
    </w:p>
    <w:p>
      <w:pPr>
        <w:pStyle w:val="null3"/>
      </w:pPr>
      <w:r>
        <w:rPr>
          <w:rFonts w:ascii="仿宋_GB2312" w:hAnsi="仿宋_GB2312" w:cs="仿宋_GB2312" w:eastAsia="仿宋_GB2312"/>
        </w:rPr>
        <w:t>10、联合体形式：本项目不接受联合体，提供非联合体声明。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西北大学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西安市长安区郭杜教育科技产业区学府大街1号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029-88302595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陕西瑞通工程造价咨询有限公司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西安市高新区科技路30号合力紫郡A座2204室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贾堃 水思楠 张晨 张岩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029-88224132-8007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采购包1：892,500.00元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采购包1保证金金额：17,000.00元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开户名称：陕西瑞通工程造价咨询有限公司</w:t>
            </w:r>
          </w:p>
          <w:p>
            <w:pPr>
              <w:pStyle w:val="null3"/>
            </w:pPr>
            <w:r>
              <w:rPr>
                <w:rFonts w:ascii="仿宋_GB2312" w:hAnsi="仿宋_GB2312" w:cs="仿宋_GB2312" w:eastAsia="仿宋_GB2312"/>
              </w:rPr>
              <w:t>开户银行：中国民生银行西安分行营业部</w:t>
            </w:r>
          </w:p>
          <w:p>
            <w:pPr>
              <w:pStyle w:val="null3"/>
            </w:pPr>
            <w:r>
              <w:rPr>
                <w:rFonts w:ascii="仿宋_GB2312" w:hAnsi="仿宋_GB2312" w:cs="仿宋_GB2312" w:eastAsia="仿宋_GB2312"/>
              </w:rPr>
              <w:t>银行账号：698207824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说明：1.本采购包履约保证金为合同金额的5.0% 说明：供应商凭成交通知书向采购人缴纳成交金额的5%作为履约保证金。 2.缴纳信息： 户名：西北大学 开户银行：交通银行西安学府大街支行 账号： 611301015018001145006 3.履约保证金汇款后，可持银行回执到西北大学采购与招标办公室换取收据。待合同执行完毕、项目验收合格后凭验收单和缴款收据，履约保证金予以无息退还。如遇下列情况之一者，履约保证金不予退还，作为对采购人的赔偿： （1）合同签订后不能按合同时限要求完工的； （2）项目与合同不符或验收不合格的； （3）不能按合同履约的。</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发展改革委员会办公厅颁发的《关于招标代理服务收费有关问题的通知》（发改办价格[2003]857号）的有关规定，以成交价为基础计算下浮20%计取，供应商在下载成交通知书时一次性缴清。</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踏勘时间：2026-07-02 09:30:00</w:t>
            </w:r>
          </w:p>
          <w:p>
            <w:pPr>
              <w:pStyle w:val="null3"/>
              <w:ind w:firstLine="975"/>
            </w:pPr>
            <w:r>
              <w:rPr>
                <w:rFonts w:ascii="仿宋_GB2312" w:hAnsi="仿宋_GB2312" w:cs="仿宋_GB2312" w:eastAsia="仿宋_GB2312"/>
              </w:rPr>
              <w:t>踏勘地点：西北大学长安校区7号教学楼下</w:t>
            </w:r>
          </w:p>
          <w:p>
            <w:pPr>
              <w:pStyle w:val="null3"/>
              <w:ind w:firstLine="975"/>
            </w:pPr>
            <w:r>
              <w:rPr>
                <w:rFonts w:ascii="仿宋_GB2312" w:hAnsi="仿宋_GB2312" w:cs="仿宋_GB2312" w:eastAsia="仿宋_GB2312"/>
              </w:rPr>
              <w:t>联系人：贾工</w:t>
            </w:r>
          </w:p>
          <w:p>
            <w:pPr>
              <w:pStyle w:val="null3"/>
              <w:ind w:firstLine="975"/>
            </w:pPr>
            <w:r>
              <w:rPr>
                <w:rFonts w:ascii="仿宋_GB2312" w:hAnsi="仿宋_GB2312" w:cs="仿宋_GB2312" w:eastAsia="仿宋_GB2312"/>
              </w:rPr>
              <w:t>联系电话号码：13572421621</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西北大学</w:t>
      </w:r>
      <w:r>
        <w:rPr>
          <w:rFonts w:ascii="仿宋_GB2312" w:hAnsi="仿宋_GB2312" w:cs="仿宋_GB2312" w:eastAsia="仿宋_GB2312"/>
        </w:rPr>
        <w:t>和</w:t>
      </w:r>
      <w:r>
        <w:rPr>
          <w:rFonts w:ascii="仿宋_GB2312" w:hAnsi="仿宋_GB2312" w:cs="仿宋_GB2312" w:eastAsia="仿宋_GB2312"/>
        </w:rPr>
        <w:t>陕西瑞通工程造价咨询有限公司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西北大学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陕西瑞通工程造价咨询有限公司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西北大学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陕西瑞通工程造价咨询有限公司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根据合同约定执行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陕西瑞通工程造价咨询有限公司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陕西瑞通工程造价咨询有限公司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陕西瑞通工程造价咨询有限公司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联系人：贾工 水工</w:t>
      </w:r>
    </w:p>
    <w:p>
      <w:pPr>
        <w:pStyle w:val="null3"/>
      </w:pPr>
      <w:r>
        <w:rPr>
          <w:rFonts w:ascii="仿宋_GB2312" w:hAnsi="仿宋_GB2312" w:cs="仿宋_GB2312" w:eastAsia="仿宋_GB2312"/>
        </w:rPr>
        <w:t>联系电话：029-88224132</w:t>
      </w:r>
    </w:p>
    <w:p>
      <w:pPr>
        <w:pStyle w:val="null3"/>
      </w:pPr>
      <w:r>
        <w:rPr>
          <w:rFonts w:ascii="仿宋_GB2312" w:hAnsi="仿宋_GB2312" w:cs="仿宋_GB2312" w:eastAsia="仿宋_GB2312"/>
        </w:rPr>
        <w:t>地址：西安市科技路30号合力紫郡A座2204室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892,500.00</w:t>
      </w:r>
    </w:p>
    <w:p>
      <w:pPr>
        <w:pStyle w:val="null3"/>
      </w:pPr>
      <w:r>
        <w:rPr>
          <w:rFonts w:ascii="仿宋_GB2312" w:hAnsi="仿宋_GB2312" w:cs="仿宋_GB2312" w:eastAsia="仿宋_GB2312"/>
        </w:rPr>
        <w:t>采购包最高限价（元）: 892,258.61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长安校区环道周边部分人行道改造工程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892,500.00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标的名称：长安校区环道周边部分人行道改造工程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color w:val="0000FF"/>
              </w:rPr>
              <w:t>一、项目概况</w:t>
            </w:r>
          </w:p>
          <w:p>
            <w:pPr>
              <w:pStyle w:val="null3"/>
            </w:pPr>
            <w:r>
              <w:rPr>
                <w:rFonts w:ascii="仿宋_GB2312" w:hAnsi="仿宋_GB2312" w:cs="仿宋_GB2312" w:eastAsia="仿宋_GB2312"/>
                <w:sz w:val="21"/>
                <w:color w:val="0000FF"/>
              </w:rPr>
              <w:t>为解决西北大学长安校区南环道双侧人行道地砖破损老化、树根拱起、雨天积水、通行安全隐患等问题，践行海绵城市建设理念，对约</w:t>
            </w:r>
            <w:r>
              <w:rPr>
                <w:rFonts w:ascii="仿宋_GB2312" w:hAnsi="仿宋_GB2312" w:cs="仿宋_GB2312" w:eastAsia="仿宋_GB2312"/>
                <w:sz w:val="21"/>
                <w:color w:val="0000FF"/>
              </w:rPr>
              <w:t>3000㎡人行道进行整体改造。更换透水铺装、更新道牙、整治树池，实现消除通行安全隐患、提升校园景观质感、满足海绵城市透水要求、降低长效维护成本的目标，打造整洁、美观、安全、耐用的校园人行空间，适配校园高人流通行需求。</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color w:val="0000FF"/>
              </w:rPr>
              <w:t>二、施工内容：</w:t>
            </w:r>
          </w:p>
          <w:p>
            <w:pPr>
              <w:pStyle w:val="null3"/>
            </w:pPr>
            <w:r>
              <w:rPr>
                <w:rFonts w:ascii="仿宋_GB2312" w:hAnsi="仿宋_GB2312" w:cs="仿宋_GB2312" w:eastAsia="仿宋_GB2312"/>
                <w:color w:val="0000FF"/>
              </w:rPr>
              <w:t>（</w:t>
            </w:r>
            <w:r>
              <w:rPr>
                <w:rFonts w:ascii="仿宋_GB2312" w:hAnsi="仿宋_GB2312" w:cs="仿宋_GB2312" w:eastAsia="仿宋_GB2312"/>
                <w:color w:val="0000FF"/>
              </w:rPr>
              <w:t>1）旧设施拆除清运：拆除南环道双侧 3000㎡旧人行道地砖、砼垫层、灰土层、旧道牙、旧树套，建筑垃圾密闭外运、场地平整；</w:t>
            </w:r>
          </w:p>
          <w:p>
            <w:pPr>
              <w:pStyle w:val="null3"/>
            </w:pPr>
            <w:r>
              <w:rPr>
                <w:rFonts w:ascii="仿宋_GB2312" w:hAnsi="仿宋_GB2312" w:cs="仿宋_GB2312" w:eastAsia="仿宋_GB2312"/>
                <w:color w:val="0000FF"/>
              </w:rPr>
              <w:t>（</w:t>
            </w:r>
            <w:r>
              <w:rPr>
                <w:rFonts w:ascii="仿宋_GB2312" w:hAnsi="仿宋_GB2312" w:cs="仿宋_GB2312" w:eastAsia="仿宋_GB2312"/>
                <w:color w:val="0000FF"/>
              </w:rPr>
              <w:t>2）基层施工：素土夯实（密实度≥85%），2:8 灰土垫层，分两匹摊铺、分层夯实，压实度≥85%，浇筑 100 厚 C15 混凝土垫层并养护；</w:t>
            </w:r>
          </w:p>
          <w:p>
            <w:pPr>
              <w:pStyle w:val="null3"/>
            </w:pPr>
            <w:r>
              <w:rPr>
                <w:rFonts w:ascii="仿宋_GB2312" w:hAnsi="仿宋_GB2312" w:cs="仿宋_GB2312" w:eastAsia="仿宋_GB2312"/>
                <w:color w:val="0000FF"/>
              </w:rPr>
              <w:t>（</w:t>
            </w:r>
            <w:r>
              <w:rPr>
                <w:rFonts w:ascii="仿宋_GB2312" w:hAnsi="仿宋_GB2312" w:cs="仿宋_GB2312" w:eastAsia="仿宋_GB2312"/>
                <w:color w:val="0000FF"/>
              </w:rPr>
              <w:t>3）面层铺装：铺设 300mm×600mm×60mm 混凝土基 PC 仿石砖，采用纵向工字错缝工艺，30mm 厚 1:6 干硬性水泥砂浆找平，粗砂扫缝、洒水封缝养护；</w:t>
            </w:r>
          </w:p>
          <w:p>
            <w:pPr>
              <w:pStyle w:val="null3"/>
            </w:pPr>
            <w:r>
              <w:rPr>
                <w:rFonts w:ascii="仿宋_GB2312" w:hAnsi="仿宋_GB2312" w:cs="仿宋_GB2312" w:eastAsia="仿宋_GB2312"/>
                <w:color w:val="0000FF"/>
              </w:rPr>
              <w:t>（</w:t>
            </w:r>
            <w:r>
              <w:rPr>
                <w:rFonts w:ascii="仿宋_GB2312" w:hAnsi="仿宋_GB2312" w:cs="仿宋_GB2312" w:eastAsia="仿宋_GB2312"/>
                <w:color w:val="0000FF"/>
              </w:rPr>
              <w:t>4）道牙更换：安装花岗岩异型外道牙（600mm×300mm×150mm）、青石板内道牙（600mm×150mm×80mm）；</w:t>
            </w:r>
          </w:p>
          <w:p>
            <w:pPr>
              <w:pStyle w:val="null3"/>
            </w:pPr>
            <w:r>
              <w:rPr>
                <w:rFonts w:ascii="仿宋_GB2312" w:hAnsi="仿宋_GB2312" w:cs="仿宋_GB2312" w:eastAsia="仿宋_GB2312"/>
                <w:color w:val="0000FF"/>
              </w:rPr>
              <w:t>（</w:t>
            </w:r>
            <w:r>
              <w:rPr>
                <w:rFonts w:ascii="仿宋_GB2312" w:hAnsi="仿宋_GB2312" w:cs="仿宋_GB2312" w:eastAsia="仿宋_GB2312"/>
                <w:color w:val="0000FF"/>
              </w:rPr>
              <w:t>5）树池施工：145 套 1.2m×1.2m 树池施工，含基底整形、土工布铺设、防锈钢质 L 型窄款分隔条预埋、植草格安装、小粒径碎石铺面，与周边铺装收口顺直；</w:t>
            </w:r>
          </w:p>
          <w:p>
            <w:pPr>
              <w:pStyle w:val="null3"/>
            </w:pPr>
            <w:r>
              <w:rPr>
                <w:rFonts w:ascii="仿宋_GB2312" w:hAnsi="仿宋_GB2312" w:cs="仿宋_GB2312" w:eastAsia="仿宋_GB2312"/>
                <w:color w:val="0000FF"/>
              </w:rPr>
              <w:t>（</w:t>
            </w:r>
            <w:r>
              <w:rPr>
                <w:rFonts w:ascii="仿宋_GB2312" w:hAnsi="仿宋_GB2312" w:cs="仿宋_GB2312" w:eastAsia="仿宋_GB2312"/>
                <w:color w:val="0000FF"/>
              </w:rPr>
              <w:t>6）特殊节点处理：树根隆起路段整平、检查井周边铺装规整、路面衔接平顺无积水；</w:t>
            </w:r>
          </w:p>
          <w:p>
            <w:pPr>
              <w:pStyle w:val="null3"/>
            </w:pPr>
            <w:r>
              <w:rPr>
                <w:rFonts w:ascii="仿宋_GB2312" w:hAnsi="仿宋_GB2312" w:cs="仿宋_GB2312" w:eastAsia="仿宋_GB2312"/>
                <w:color w:val="0000FF"/>
              </w:rPr>
              <w:t>（</w:t>
            </w:r>
            <w:r>
              <w:rPr>
                <w:rFonts w:ascii="仿宋_GB2312" w:hAnsi="仿宋_GB2312" w:cs="仿宋_GB2312" w:eastAsia="仿宋_GB2312"/>
                <w:color w:val="0000FF"/>
              </w:rPr>
              <w:t>7）成品保护与场地清理：完工后全面清理、成品保护，工完场清。</w:t>
            </w:r>
          </w:p>
          <w:p>
            <w:pPr>
              <w:pStyle w:val="null3"/>
            </w:pPr>
            <w:r>
              <w:rPr>
                <w:rFonts w:ascii="仿宋_GB2312" w:hAnsi="仿宋_GB2312" w:cs="仿宋_GB2312" w:eastAsia="仿宋_GB2312"/>
                <w:sz w:val="21"/>
                <w:color w:val="0000FF"/>
              </w:rPr>
              <w:t>详见工程量清单、任务书。</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color w:val="0000FF"/>
              </w:rPr>
              <w:t>三、实施要求</w:t>
            </w:r>
          </w:p>
          <w:p>
            <w:pPr>
              <w:pStyle w:val="null3"/>
            </w:pPr>
            <w:r>
              <w:rPr>
                <w:rFonts w:ascii="仿宋_GB2312" w:hAnsi="仿宋_GB2312" w:cs="仿宋_GB2312" w:eastAsia="仿宋_GB2312"/>
                <w:color w:val="0000FF"/>
              </w:rPr>
              <w:t>（</w:t>
            </w:r>
            <w:r>
              <w:rPr>
                <w:rFonts w:ascii="仿宋_GB2312" w:hAnsi="仿宋_GB2312" w:cs="仿宋_GB2312" w:eastAsia="仿宋_GB2312"/>
                <w:color w:val="0000FF"/>
              </w:rPr>
              <w:t>1）质量要求：所有材料均为全新正品，符合国家规范及本需求书参数要求；铺装平整牢固、无松动开裂、透水达标，道牙顺直、树池规整，工程质量等级为合格；</w:t>
            </w:r>
          </w:p>
          <w:p>
            <w:pPr>
              <w:pStyle w:val="null3"/>
            </w:pPr>
            <w:r>
              <w:rPr>
                <w:rFonts w:ascii="仿宋_GB2312" w:hAnsi="仿宋_GB2312" w:cs="仿宋_GB2312" w:eastAsia="仿宋_GB2312"/>
                <w:color w:val="0000FF"/>
              </w:rPr>
              <w:t>（</w:t>
            </w:r>
            <w:r>
              <w:rPr>
                <w:rFonts w:ascii="仿宋_GB2312" w:hAnsi="仿宋_GB2312" w:cs="仿宋_GB2312" w:eastAsia="仿宋_GB2312"/>
                <w:color w:val="0000FF"/>
              </w:rPr>
              <w:t>2）安全要求：规范设置围挡、警示标识，落实校园施工安全管控，保障施工安全与师生通行安全，杜绝安全事故；</w:t>
            </w:r>
          </w:p>
          <w:p>
            <w:pPr>
              <w:pStyle w:val="null3"/>
            </w:pPr>
            <w:r>
              <w:rPr>
                <w:rFonts w:ascii="仿宋_GB2312" w:hAnsi="仿宋_GB2312" w:cs="仿宋_GB2312" w:eastAsia="仿宋_GB2312"/>
                <w:color w:val="0000FF"/>
              </w:rPr>
              <w:t>（</w:t>
            </w:r>
            <w:r>
              <w:rPr>
                <w:rFonts w:ascii="仿宋_GB2312" w:hAnsi="仿宋_GB2312" w:cs="仿宋_GB2312" w:eastAsia="仿宋_GB2312"/>
                <w:color w:val="0000FF"/>
              </w:rPr>
              <w:t>3）文明施工：施工期间降噪降尘，物料堆放规范，工完场清；服从校园管理，不影响教学与师生正常通行：</w:t>
            </w:r>
          </w:p>
          <w:p>
            <w:pPr>
              <w:pStyle w:val="null3"/>
            </w:pPr>
            <w:r>
              <w:rPr>
                <w:rFonts w:ascii="仿宋_GB2312" w:hAnsi="仿宋_GB2312" w:cs="仿宋_GB2312" w:eastAsia="仿宋_GB2312"/>
                <w:color w:val="0000FF"/>
              </w:rPr>
              <w:t>① 须编制详细施工组织方案，实行分段封闭施工、分段移交，严禁全线大面积围蔽；</w:t>
            </w:r>
          </w:p>
          <w:p>
            <w:pPr>
              <w:pStyle w:val="null3"/>
            </w:pPr>
            <w:r>
              <w:rPr>
                <w:rFonts w:ascii="仿宋_GB2312" w:hAnsi="仿宋_GB2312" w:cs="仿宋_GB2312" w:eastAsia="仿宋_GB2312"/>
                <w:color w:val="0000FF"/>
              </w:rPr>
              <w:t>② 施工现场必须设置连续、稳固、密闭式硬质围挡，出入口规范整洁，围挡高度、外观须满足校园文明施工统一规范；</w:t>
            </w:r>
          </w:p>
          <w:p>
            <w:pPr>
              <w:pStyle w:val="null3"/>
            </w:pPr>
            <w:r>
              <w:rPr>
                <w:rFonts w:ascii="仿宋_GB2312" w:hAnsi="仿宋_GB2312" w:cs="仿宋_GB2312" w:eastAsia="仿宋_GB2312"/>
                <w:color w:val="0000FF"/>
              </w:rPr>
              <w:t>③ 围挡显著位置必须张贴工程公示信息，内容包括：项目名称、建设单位、施工单位、项目经理姓名及联系方式、现场安全管理员姓名及联系方式、开竣工日期、监督电话等，信息完整、字迹清晰、公示有效；</w:t>
            </w:r>
          </w:p>
          <w:p>
            <w:pPr>
              <w:pStyle w:val="null3"/>
            </w:pPr>
            <w:r>
              <w:rPr>
                <w:rFonts w:ascii="仿宋_GB2312" w:hAnsi="仿宋_GB2312" w:cs="仿宋_GB2312" w:eastAsia="仿宋_GB2312"/>
                <w:sz w:val="21"/>
                <w:color w:val="0000FF"/>
              </w:rPr>
              <w:t>④ 项目涉及电焊、气割、切割等动火作业的，必须严格执行西北大学校园动火作业审批流程，书面报批并经校方消防安全管理部门同意后方可作业，落实动火监护人、消防器材与现场监护；施工现场按规范配备足量有效灭火器、消防水桶等消防器材，摆放明显、便于取用，符合校园消防安全管理规定。</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color w:val="0000FF"/>
              </w:rPr>
              <w:t>四、质量保证及验收标准</w:t>
            </w:r>
          </w:p>
          <w:p>
            <w:pPr>
              <w:pStyle w:val="null3"/>
            </w:pPr>
            <w:r>
              <w:rPr>
                <w:rFonts w:ascii="仿宋_GB2312" w:hAnsi="仿宋_GB2312" w:cs="仿宋_GB2312" w:eastAsia="仿宋_GB2312"/>
                <w:color w:val="0000FF"/>
              </w:rPr>
              <w:t>（</w:t>
            </w:r>
            <w:r>
              <w:rPr>
                <w:rFonts w:ascii="仿宋_GB2312" w:hAnsi="仿宋_GB2312" w:cs="仿宋_GB2312" w:eastAsia="仿宋_GB2312"/>
                <w:color w:val="0000FF"/>
              </w:rPr>
              <w:t>1）成交供应商须严格按照现行国家规范、行业标准组织施工，无国家标准时执行最新行业标准，采用合规施工工艺，确保工程质量。</w:t>
            </w:r>
          </w:p>
          <w:p>
            <w:pPr>
              <w:pStyle w:val="null3"/>
            </w:pPr>
            <w:r>
              <w:rPr>
                <w:rFonts w:ascii="仿宋_GB2312" w:hAnsi="仿宋_GB2312" w:cs="仿宋_GB2312" w:eastAsia="仿宋_GB2312"/>
                <w:color w:val="0000FF"/>
              </w:rPr>
              <w:t>（</w:t>
            </w:r>
            <w:r>
              <w:rPr>
                <w:rFonts w:ascii="仿宋_GB2312" w:hAnsi="仿宋_GB2312" w:cs="仿宋_GB2312" w:eastAsia="仿宋_GB2312"/>
                <w:color w:val="0000FF"/>
              </w:rPr>
              <w:t>2）工程所用材料与施工工艺均符合本需求书及国家现行规范、标准，供应商须提供材料出厂合格证、检测报告等完整资料。</w:t>
            </w:r>
          </w:p>
          <w:p>
            <w:pPr>
              <w:pStyle w:val="null3"/>
            </w:pPr>
            <w:r>
              <w:rPr>
                <w:rFonts w:ascii="仿宋_GB2312" w:hAnsi="仿宋_GB2312" w:cs="仿宋_GB2312" w:eastAsia="仿宋_GB2312"/>
                <w:color w:val="0000FF"/>
              </w:rPr>
              <w:t>（</w:t>
            </w:r>
            <w:r>
              <w:rPr>
                <w:rFonts w:ascii="仿宋_GB2312" w:hAnsi="仿宋_GB2312" w:cs="仿宋_GB2312" w:eastAsia="仿宋_GB2312"/>
                <w:color w:val="0000FF"/>
              </w:rPr>
              <w:t>3）PC 仿石砖铺装平整、牢固、无松动、无开裂、无积水，透水性能满足海绵城市建设要求；道牙安装顺直、稳固，与铺装衔接规整；树池施工规范，分隔条顺直、植草格与碎石铺设均匀，与人行道平齐无错台；树根隆起、检查井等特殊节点处理到位，无通行安全隐患。</w:t>
            </w:r>
          </w:p>
          <w:p>
            <w:pPr>
              <w:pStyle w:val="null3"/>
            </w:pPr>
            <w:r>
              <w:rPr>
                <w:rFonts w:ascii="仿宋_GB2312" w:hAnsi="仿宋_GB2312" w:cs="仿宋_GB2312" w:eastAsia="仿宋_GB2312"/>
                <w:color w:val="0000FF"/>
              </w:rPr>
              <w:t>（</w:t>
            </w:r>
            <w:r>
              <w:rPr>
                <w:rFonts w:ascii="仿宋_GB2312" w:hAnsi="仿宋_GB2312" w:cs="仿宋_GB2312" w:eastAsia="仿宋_GB2312"/>
                <w:color w:val="0000FF"/>
              </w:rPr>
              <w:t>4）所交付工程未达到投标承诺、施工质量不合格或使用不符合要求材料的，采购人有权要求限期整改；整改后仍不满足约定标准的，采购人有权解除采购合同，并将有关情况上报政府采购监管部门处理。</w:t>
            </w:r>
          </w:p>
          <w:p>
            <w:pPr>
              <w:pStyle w:val="null3"/>
            </w:pPr>
            <w:r>
              <w:rPr>
                <w:rFonts w:ascii="仿宋_GB2312" w:hAnsi="仿宋_GB2312" w:cs="仿宋_GB2312" w:eastAsia="仿宋_GB2312"/>
                <w:sz w:val="21"/>
                <w:color w:val="0000FF"/>
              </w:rPr>
              <w:t>（</w:t>
            </w:r>
            <w:r>
              <w:rPr>
                <w:rFonts w:ascii="仿宋_GB2312" w:hAnsi="仿宋_GB2312" w:cs="仿宋_GB2312" w:eastAsia="仿宋_GB2312"/>
                <w:sz w:val="21"/>
                <w:color w:val="0000FF"/>
              </w:rPr>
              <w:t>5）工程质量须达到国家现行城镇道路工程、人行道铺装工程施工质量验收规范合格标准，满足采购文件、合同及校园人行使用要求，由采购人组织现场验收。</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color w:val="0000FF"/>
              </w:rPr>
              <w:t>五、其他</w:t>
            </w:r>
          </w:p>
          <w:p>
            <w:pPr>
              <w:pStyle w:val="null3"/>
            </w:pPr>
            <w:r>
              <w:rPr>
                <w:rFonts w:ascii="仿宋_GB2312" w:hAnsi="仿宋_GB2312" w:cs="仿宋_GB2312" w:eastAsia="仿宋_GB2312"/>
                <w:color w:val="0000FF"/>
              </w:rPr>
              <w:t>1.材料管控与一致性承诺</w:t>
            </w:r>
          </w:p>
          <w:p>
            <w:pPr>
              <w:pStyle w:val="null3"/>
            </w:pPr>
            <w:r>
              <w:rPr>
                <w:rFonts w:ascii="仿宋_GB2312" w:hAnsi="仿宋_GB2312" w:cs="仿宋_GB2312" w:eastAsia="仿宋_GB2312"/>
                <w:color w:val="0000FF"/>
              </w:rPr>
              <w:t>（</w:t>
            </w:r>
            <w:r>
              <w:rPr>
                <w:rFonts w:ascii="仿宋_GB2312" w:hAnsi="仿宋_GB2312" w:cs="仿宋_GB2312" w:eastAsia="仿宋_GB2312"/>
                <w:color w:val="0000FF"/>
              </w:rPr>
              <w:t>1）本项目所有主材（PC 透水砖、花岗岩异型道牙、青石板内道牙、防锈钢质分隔条等）须与投标响应完全一致，中标后材料规格、型号、质量标准一律不得擅自变更、降级或替换。</w:t>
            </w:r>
          </w:p>
          <w:p>
            <w:pPr>
              <w:pStyle w:val="null3"/>
            </w:pPr>
            <w:r>
              <w:rPr>
                <w:rFonts w:ascii="仿宋_GB2312" w:hAnsi="仿宋_GB2312" w:cs="仿宋_GB2312" w:eastAsia="仿宋_GB2312"/>
                <w:color w:val="0000FF"/>
              </w:rPr>
              <w:t>（</w:t>
            </w:r>
            <w:r>
              <w:rPr>
                <w:rFonts w:ascii="仿宋_GB2312" w:hAnsi="仿宋_GB2312" w:cs="仿宋_GB2312" w:eastAsia="仿宋_GB2312"/>
                <w:color w:val="0000FF"/>
              </w:rPr>
              <w:t>2）材料进场前须向采购人提交相关合格证、检测报告等资料；PC仿石砖及外道牙材料进场时，采购人将对进场材料进行进行抗压强度、面层石英砂厚度、吸水率、耐磨性检测，检测指标须满足以下要求：</w:t>
            </w:r>
          </w:p>
          <w:p>
            <w:pPr>
              <w:pStyle w:val="null3"/>
            </w:pPr>
            <w:r>
              <w:rPr>
                <w:rFonts w:ascii="仿宋_GB2312" w:hAnsi="仿宋_GB2312" w:cs="仿宋_GB2312" w:eastAsia="仿宋_GB2312"/>
                <w:color w:val="0000FF"/>
              </w:rPr>
              <w:t>①PC 仿石砖</w:t>
            </w:r>
          </w:p>
          <w:p>
            <w:pPr>
              <w:pStyle w:val="null3"/>
            </w:pPr>
            <w:r>
              <w:rPr>
                <w:rFonts w:ascii="仿宋_GB2312" w:hAnsi="仿宋_GB2312" w:cs="仿宋_GB2312" w:eastAsia="仿宋_GB2312"/>
                <w:color w:val="0000FF"/>
              </w:rPr>
              <w:t>抗压强度：</w:t>
            </w:r>
            <w:r>
              <w:rPr>
                <w:rFonts w:ascii="仿宋_GB2312" w:hAnsi="仿宋_GB2312" w:cs="仿宋_GB2312" w:eastAsia="仿宋_GB2312"/>
                <w:color w:val="0000FF"/>
              </w:rPr>
              <w:t>≥Cc40 ；面层石英砂厚度：≥3mm ；吸水率：≤6.5% ；磨坑长度：≤35mm 。</w:t>
            </w:r>
          </w:p>
          <w:p>
            <w:pPr>
              <w:pStyle w:val="null3"/>
            </w:pPr>
            <w:r>
              <w:rPr>
                <w:rFonts w:ascii="仿宋_GB2312" w:hAnsi="仿宋_GB2312" w:cs="仿宋_GB2312" w:eastAsia="仿宋_GB2312"/>
                <w:color w:val="0000FF"/>
              </w:rPr>
              <w:t>②花岗岩外道牙</w:t>
            </w:r>
          </w:p>
          <w:p>
            <w:pPr>
              <w:pStyle w:val="null3"/>
            </w:pPr>
            <w:r>
              <w:rPr>
                <w:rFonts w:ascii="仿宋_GB2312" w:hAnsi="仿宋_GB2312" w:cs="仿宋_GB2312" w:eastAsia="仿宋_GB2312"/>
                <w:color w:val="0000FF"/>
              </w:rPr>
              <w:t>抗压强度：</w:t>
            </w:r>
            <w:r>
              <w:rPr>
                <w:rFonts w:ascii="仿宋_GB2312" w:hAnsi="仿宋_GB2312" w:cs="仿宋_GB2312" w:eastAsia="仿宋_GB2312"/>
                <w:color w:val="0000FF"/>
              </w:rPr>
              <w:t>≥100MPa ；表观密度：≥2650kg/m³ ；吸水率：≤0.6% 。</w:t>
            </w:r>
          </w:p>
          <w:p>
            <w:pPr>
              <w:pStyle w:val="null3"/>
            </w:pPr>
            <w:r>
              <w:rPr>
                <w:rFonts w:ascii="仿宋_GB2312" w:hAnsi="仿宋_GB2312" w:cs="仿宋_GB2312" w:eastAsia="仿宋_GB2312"/>
                <w:color w:val="0000FF"/>
              </w:rPr>
              <w:t>检测不合格的材料一律清退出场，由此造成的工期延误及损失由成交供应商自行承担。上述检测费用由供应商承担，并在投标报价中综合考虑。</w:t>
            </w:r>
          </w:p>
          <w:p>
            <w:pPr>
              <w:pStyle w:val="null3"/>
            </w:pPr>
            <w:r>
              <w:rPr>
                <w:rFonts w:ascii="仿宋_GB2312" w:hAnsi="仿宋_GB2312" w:cs="仿宋_GB2312" w:eastAsia="仿宋_GB2312"/>
                <w:color w:val="0000FF"/>
              </w:rPr>
              <w:t>2.校园施工专项管理要求</w:t>
            </w:r>
          </w:p>
          <w:p>
            <w:pPr>
              <w:pStyle w:val="null3"/>
            </w:pPr>
            <w:r>
              <w:rPr>
                <w:rFonts w:ascii="仿宋_GB2312" w:hAnsi="仿宋_GB2312" w:cs="仿宋_GB2312" w:eastAsia="仿宋_GB2312"/>
                <w:color w:val="0000FF"/>
              </w:rPr>
              <w:t>（</w:t>
            </w:r>
            <w:r>
              <w:rPr>
                <w:rFonts w:ascii="仿宋_GB2312" w:hAnsi="仿宋_GB2312" w:cs="仿宋_GB2312" w:eastAsia="仿宋_GB2312"/>
                <w:color w:val="0000FF"/>
              </w:rPr>
              <w:t>1）施工时段须服从校园管理规定，优先安排在非高峰时段施工，严禁在教学高峰期开展高噪音作业，确需连续施工的须提前向采购人报备并获同意。</w:t>
            </w:r>
          </w:p>
          <w:p>
            <w:pPr>
              <w:pStyle w:val="null3"/>
            </w:pPr>
            <w:r>
              <w:rPr>
                <w:rFonts w:ascii="仿宋_GB2312" w:hAnsi="仿宋_GB2312" w:cs="仿宋_GB2312" w:eastAsia="仿宋_GB2312"/>
                <w:color w:val="0000FF"/>
              </w:rPr>
              <w:t>（</w:t>
            </w:r>
            <w:r>
              <w:rPr>
                <w:rFonts w:ascii="仿宋_GB2312" w:hAnsi="仿宋_GB2312" w:cs="仿宋_GB2312" w:eastAsia="仿宋_GB2312"/>
                <w:color w:val="0000FF"/>
              </w:rPr>
              <w:t>2）施工现场须设置连续、稳固的硬质围挡及安全警示标识，做好师生通行区域的防护措施，避免施工影响校园正常教学秩序及师生通行安全；施工过程须严格落实降噪、降尘措施，建筑垃圾须密闭清运，严禁遗撒。</w:t>
            </w:r>
          </w:p>
          <w:p>
            <w:pPr>
              <w:pStyle w:val="null3"/>
            </w:pPr>
            <w:r>
              <w:rPr>
                <w:rFonts w:ascii="仿宋_GB2312" w:hAnsi="仿宋_GB2312" w:cs="仿宋_GB2312" w:eastAsia="仿宋_GB2312"/>
                <w:color w:val="0000FF"/>
              </w:rPr>
              <w:t>（</w:t>
            </w:r>
            <w:r>
              <w:rPr>
                <w:rFonts w:ascii="仿宋_GB2312" w:hAnsi="仿宋_GB2312" w:cs="仿宋_GB2312" w:eastAsia="仿宋_GB2312"/>
                <w:color w:val="0000FF"/>
              </w:rPr>
              <w:t>3）严格执行分段施工、分段围挡制度，科学划分施工区段，减少对校园通行与教学的影响；</w:t>
            </w:r>
          </w:p>
          <w:p>
            <w:pPr>
              <w:pStyle w:val="null3"/>
            </w:pPr>
            <w:r>
              <w:rPr>
                <w:rFonts w:ascii="仿宋_GB2312" w:hAnsi="仿宋_GB2312" w:cs="仿宋_GB2312" w:eastAsia="仿宋_GB2312"/>
                <w:color w:val="0000FF"/>
              </w:rPr>
              <w:t>（</w:t>
            </w:r>
            <w:r>
              <w:rPr>
                <w:rFonts w:ascii="仿宋_GB2312" w:hAnsi="仿宋_GB2312" w:cs="仿宋_GB2312" w:eastAsia="仿宋_GB2312"/>
                <w:color w:val="0000FF"/>
              </w:rPr>
              <w:t>4）施工现场围挡、公示牌标准化设置，醒目位置公示项目信息、项目经理、安全管理员、联系方式及监督电话，接受校方与师生监督；</w:t>
            </w:r>
          </w:p>
          <w:p>
            <w:pPr>
              <w:pStyle w:val="null3"/>
            </w:pPr>
            <w:r>
              <w:rPr>
                <w:rFonts w:ascii="仿宋_GB2312" w:hAnsi="仿宋_GB2312" w:cs="仿宋_GB2312" w:eastAsia="仿宋_GB2312"/>
                <w:color w:val="0000FF"/>
              </w:rPr>
              <w:t>（</w:t>
            </w:r>
            <w:r>
              <w:rPr>
                <w:rFonts w:ascii="仿宋_GB2312" w:hAnsi="仿宋_GB2312" w:cs="仿宋_GB2312" w:eastAsia="仿宋_GB2312"/>
                <w:color w:val="0000FF"/>
              </w:rPr>
              <w:t>5）项目经理驻场管理要求：本项目总工期45日历天，项目经理驻场履职时间不得少于总工期的90%（即不少于41天），不得擅自脱岗、离岗；</w:t>
            </w:r>
          </w:p>
          <w:p>
            <w:pPr>
              <w:pStyle w:val="null3"/>
            </w:pPr>
            <w:r>
              <w:rPr>
                <w:rFonts w:ascii="仿宋_GB2312" w:hAnsi="仿宋_GB2312" w:cs="仿宋_GB2312" w:eastAsia="仿宋_GB2312"/>
                <w:color w:val="0000FF"/>
              </w:rPr>
              <w:t>项目经理未达到驻场时间要求、擅自离岗或委托他人顶岗的，按人民币</w:t>
            </w:r>
            <w:r>
              <w:rPr>
                <w:rFonts w:ascii="仿宋_GB2312" w:hAnsi="仿宋_GB2312" w:cs="仿宋_GB2312" w:eastAsia="仿宋_GB2312"/>
                <w:color w:val="0000FF"/>
              </w:rPr>
              <w:t>2000元进行处罚，造成严重影响工程质量及进度后果，采购人有权视为违约，追究相关责任并上报政府采购部门。</w:t>
            </w:r>
          </w:p>
          <w:p>
            <w:pPr>
              <w:pStyle w:val="null3"/>
            </w:pPr>
            <w:r>
              <w:rPr>
                <w:rFonts w:ascii="仿宋_GB2312" w:hAnsi="仿宋_GB2312" w:cs="仿宋_GB2312" w:eastAsia="仿宋_GB2312"/>
                <w:color w:val="0000FF"/>
              </w:rPr>
              <w:t>（</w:t>
            </w:r>
            <w:r>
              <w:rPr>
                <w:rFonts w:ascii="仿宋_GB2312" w:hAnsi="仿宋_GB2312" w:cs="仿宋_GB2312" w:eastAsia="仿宋_GB2312"/>
                <w:color w:val="0000FF"/>
              </w:rPr>
              <w:t>6）施工用水、用电须按照学校施工申请相关程序进行报批并缴纳相关费用；施工过程中须做好周边绿化、管线、设施的保护工作，因施工造成的损坏由成交供应商无偿修复至原状。</w:t>
            </w:r>
          </w:p>
          <w:p>
            <w:pPr>
              <w:pStyle w:val="null3"/>
            </w:pPr>
            <w:r>
              <w:rPr>
                <w:rFonts w:ascii="仿宋_GB2312" w:hAnsi="仿宋_GB2312" w:cs="仿宋_GB2312" w:eastAsia="仿宋_GB2312"/>
                <w:color w:val="0000FF"/>
              </w:rPr>
              <w:t>3.现场勘查与风险承担</w:t>
            </w:r>
          </w:p>
          <w:p>
            <w:pPr>
              <w:pStyle w:val="null3"/>
            </w:pPr>
            <w:r>
              <w:rPr>
                <w:rFonts w:ascii="仿宋_GB2312" w:hAnsi="仿宋_GB2312" w:cs="仿宋_GB2312" w:eastAsia="仿宋_GB2312"/>
                <w:color w:val="0000FF"/>
              </w:rPr>
              <w:t>投标人须按本文件规定的时间踏勘项目现场，充分了解校园场地条件、施工限制、周边环境及施工风险，所有现场条件及潜在风险均已包含在投标报价中，中标后采购人不承担任何因现场条件理解偏差产生的额外费用、工期顺延或索赔责任。</w:t>
            </w:r>
          </w:p>
          <w:p>
            <w:pPr>
              <w:pStyle w:val="null3"/>
            </w:pPr>
            <w:r>
              <w:rPr>
                <w:rFonts w:ascii="仿宋_GB2312" w:hAnsi="仿宋_GB2312" w:cs="仿宋_GB2312" w:eastAsia="仿宋_GB2312"/>
                <w:color w:val="0000FF"/>
              </w:rPr>
              <w:t>4.验收与质保衔接要求</w:t>
            </w:r>
          </w:p>
          <w:p>
            <w:pPr>
              <w:pStyle w:val="null3"/>
            </w:pPr>
            <w:r>
              <w:rPr>
                <w:rFonts w:ascii="仿宋_GB2312" w:hAnsi="仿宋_GB2312" w:cs="仿宋_GB2312" w:eastAsia="仿宋_GB2312"/>
                <w:color w:val="0000FF"/>
              </w:rPr>
              <w:t>（</w:t>
            </w:r>
            <w:r>
              <w:rPr>
                <w:rFonts w:ascii="仿宋_GB2312" w:hAnsi="仿宋_GB2312" w:cs="仿宋_GB2312" w:eastAsia="仿宋_GB2312"/>
                <w:color w:val="0000FF"/>
              </w:rPr>
              <w:t>1）工程完工后，成交供应商须提交完整的施工资料（含隐蔽工程验收记录、材料检测报告、施工日志等），配合采购人组织竣工验收，验收不合格的须按要求限期整改，整改费用及工期延误由成交供应商自行承担。</w:t>
            </w:r>
          </w:p>
          <w:p>
            <w:pPr>
              <w:pStyle w:val="null3"/>
            </w:pPr>
            <w:r>
              <w:rPr>
                <w:rFonts w:ascii="仿宋_GB2312" w:hAnsi="仿宋_GB2312" w:cs="仿宋_GB2312" w:eastAsia="仿宋_GB2312"/>
                <w:color w:val="0000FF"/>
              </w:rPr>
              <w:t>（</w:t>
            </w:r>
            <w:r>
              <w:rPr>
                <w:rFonts w:ascii="仿宋_GB2312" w:hAnsi="仿宋_GB2312" w:cs="仿宋_GB2312" w:eastAsia="仿宋_GB2312"/>
                <w:color w:val="0000FF"/>
              </w:rPr>
              <w:t>2）质保期内，成交供应商提供免费维修服务，接到采购人维修通知后2个工作日内到场并完成一般质量问题整改；因维修不当造成损失的，由成交供应商承担相应责任。</w:t>
            </w:r>
          </w:p>
          <w:p>
            <w:pPr>
              <w:pStyle w:val="null3"/>
            </w:pPr>
            <w:r>
              <w:rPr>
                <w:rFonts w:ascii="仿宋_GB2312" w:hAnsi="仿宋_GB2312" w:cs="仿宋_GB2312" w:eastAsia="仿宋_GB2312"/>
                <w:color w:val="0000FF"/>
              </w:rPr>
              <w:t>5.合规与廉政要求</w:t>
            </w:r>
          </w:p>
          <w:p>
            <w:pPr>
              <w:pStyle w:val="null3"/>
            </w:pPr>
            <w:r>
              <w:rPr>
                <w:rFonts w:ascii="仿宋_GB2312" w:hAnsi="仿宋_GB2312" w:cs="仿宋_GB2312" w:eastAsia="仿宋_GB2312"/>
                <w:color w:val="0000FF"/>
              </w:rPr>
              <w:t>成交供应商不得将本项目转包或违法分包，一经发现，采购人有权单方解除合同，并没收履约保证金。</w:t>
            </w:r>
          </w:p>
          <w:p>
            <w:pPr>
              <w:pStyle w:val="null3"/>
            </w:pPr>
            <w:r>
              <w:rPr>
                <w:rFonts w:ascii="仿宋_GB2312" w:hAnsi="仿宋_GB2312" w:cs="仿宋_GB2312" w:eastAsia="仿宋_GB2312"/>
                <w:color w:val="0000FF"/>
              </w:rPr>
              <w:t>6.违约责任</w:t>
            </w:r>
          </w:p>
          <w:p>
            <w:pPr>
              <w:pStyle w:val="null3"/>
              <w:ind w:firstLine="400"/>
            </w:pPr>
            <w:r>
              <w:rPr>
                <w:rFonts w:ascii="仿宋_GB2312" w:hAnsi="仿宋_GB2312" w:cs="仿宋_GB2312" w:eastAsia="仿宋_GB2312"/>
                <w:color w:val="0000FF"/>
              </w:rPr>
              <w:t>中标</w:t>
            </w:r>
            <w:r>
              <w:rPr>
                <w:rFonts w:ascii="仿宋_GB2312" w:hAnsi="仿宋_GB2312" w:cs="仿宋_GB2312" w:eastAsia="仿宋_GB2312"/>
                <w:color w:val="0000FF"/>
              </w:rPr>
              <w:t>/成交供应商所交付工程不符合其投标承诺，存在偷工减料、以次充好情形的，采购人要求更换一次后仍不符合约定的，采购人有权解除采购合同，没收履约保证金，并将有关情况上报政府采购监管部门处理。</w:t>
            </w:r>
          </w:p>
          <w:p>
            <w:pPr>
              <w:pStyle w:val="null3"/>
              <w:ind w:firstLine="400"/>
            </w:pPr>
            <w:r>
              <w:rPr>
                <w:rFonts w:ascii="仿宋_GB2312" w:hAnsi="仿宋_GB2312" w:cs="仿宋_GB2312" w:eastAsia="仿宋_GB2312"/>
                <w:color w:val="0000FF"/>
              </w:rPr>
              <w:t>逾期完工的，每逾期</w:t>
            </w:r>
            <w:r>
              <w:rPr>
                <w:rFonts w:ascii="仿宋_GB2312" w:hAnsi="仿宋_GB2312" w:cs="仿宋_GB2312" w:eastAsia="仿宋_GB2312"/>
                <w:color w:val="0000FF"/>
              </w:rPr>
              <w:t>1日按合同总价的0.5‰支付违约金，逾期超过15日，采购人有权单方解除合同。</w:t>
            </w:r>
          </w:p>
          <w:p>
            <w:pPr>
              <w:pStyle w:val="null3"/>
            </w:pPr>
            <w:r>
              <w:rPr>
                <w:rFonts w:ascii="仿宋_GB2312" w:hAnsi="仿宋_GB2312" w:cs="仿宋_GB2312" w:eastAsia="仿宋_GB2312"/>
                <w:sz w:val="21"/>
                <w:color w:val="0000FF"/>
              </w:rPr>
              <w:t>其他违约责任见合同。</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执行国家现行施工验收规范及其他相关标准和采购文件的要求。 （1）GB 55011-2021《城市道路交通工程项目规范》 （2）GB 55032-2022《建筑与市政工程施工质量控制通用规范》 （3）GB 55019-2021《建筑与市政工程无障碍通用规范》 （4）GB/T 28635-2012《混凝土路面砖》 （5）人行道PC砖铺装、道牙安装、树池施工，须满足道路工程相关管控文件、技术规程标准要求； （6）施工现场须严格执行校园环保与文明施工管理规定，落实降噪、降尘、施工废弃物分类处置等措施，施工过程不得影响校园正常教学与生活秩序； （7）工程主材、辅材（土工布、防锈钢质分隔条、植草格等）及施工工艺，须符合现行国家、行业及地方相关标准规范。</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1.工期：自合同签订之日起45个日历天内完成全部拆除、基层处理、铺装、道牙安装、树池施工、垃圾清运等全部工作内容并交付学校使用。 2.付款方式：待工程竣工验收合格后付至合同金额的80%；经学校审计后付至审定金额的100%；但前期支付金额超过审定金额的成交人应当退还。3.质量标准：达到国家现行施工验收规范合格标准，并满足采购文件、合同及校园人行使用要求。 4.质保期：验收合格后2年。</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供应商须通过电子化交易平台上传响应文件，另外还需在磋商截止时间前向代理机构递交密封完好的电子化交易系统导出的纸质版响应文件壹份（胶装，密封袋外层标注供应商名称和项目名称）。代理机构对递交的文件签收，由监标人查验密封情况并记录，开标后交磋商小组，作为评审的辅助资料。 递交方式：现场递交，或顺丰邮寄。 2.供应商请仔细阅读招标文件《第一章 竞争性磋商邀请》第六条“电子化采购相关事项”，提前做好线上开标准备。 3.本项目磋商及二次报价环节在电子化交易系统线上进行，供应商需自行了解系统磋商及报价的要求和操作流程。未按流程操作或无法联系以及供应商自身原因错过磋商或二次报价的视为自动放弃，其磋商无效。 4.本项目采用两次报价，响应文件中的报价为首次报价，磋商后的报价为最终报价，评审按最终报价评审。 5.①中小企业判定： 是否属于中小企业，供应商按《政府采购促进中小企业发展管理办法》（财库〔2020〕46号）、《统计上大中小微型企业划分办法（2017）》（国统字﹝2017﹞213号）建筑业划型标准判定，并承担责任。如判定原则与第四章及附件不一致的，以此为准。②若供应商填写的《中小企业声明函》中“采购文件中明确的所属行业”与采购文件第三章明确的标的所属行业不一致，将对供应商《中小企业声明函》中所填企业规模，按声明函中的资料进行复核，供应商应接受复核的结果，如无法复核，将不视为中小企业。 6.采用线下保函形式（银行或担保公司出具的)形式交纳磋商保证金的，供应商需在磋商截止时间前将保函递交代理机构并换取收据，并将收据作为保证金的交纳凭证上传至交易系统，在开标时查验。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法人主体</w:t>
            </w:r>
          </w:p>
        </w:tc>
        <w:tc>
          <w:tcPr>
            <w:tcW w:type="dxa" w:w="3322"/>
          </w:tcPr>
          <w:p>
            <w:pPr>
              <w:pStyle w:val="null3"/>
            </w:pPr>
            <w:r>
              <w:rPr>
                <w:rFonts w:ascii="仿宋_GB2312" w:hAnsi="仿宋_GB2312" w:cs="仿宋_GB2312" w:eastAsia="仿宋_GB2312"/>
              </w:rPr>
              <w:t>提供营业执照/事业单位法人登记证/非企业单位登记证/执业许可证，未提供的接受采购人通过国家企业信用信息公示系统（http://www.gsxt.gov.cn/index.html）进行相关信息的核实，并承担核实不到的后果；自然人提供身份证 。</w:t>
            </w:r>
          </w:p>
        </w:tc>
        <w:tc>
          <w:tcPr>
            <w:tcW w:type="dxa" w:w="1661"/>
          </w:tcPr>
          <w:p>
            <w:pPr>
              <w:pStyle w:val="null3"/>
            </w:pPr>
            <w:r>
              <w:rPr>
                <w:rFonts w:ascii="仿宋_GB2312" w:hAnsi="仿宋_GB2312" w:cs="仿宋_GB2312" w:eastAsia="仿宋_GB2312"/>
              </w:rPr>
              <w:t>注册证照.docx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未被信用中国网站列入失信被执行人和重大税收违法案件当事人名单、未被中国政府采购网列入政府采购严重违法失信行为记录名单（开标时系统查询），未被各级建设诚信信息平台被列为投标受限制的行为人，参加本次政府采购活动前3年内在经营活动中没有重大违纪，提供书面声明。</w:t>
            </w:r>
          </w:p>
        </w:tc>
        <w:tc>
          <w:tcPr>
            <w:tcW w:type="dxa" w:w="1661"/>
          </w:tcPr>
          <w:p>
            <w:pPr>
              <w:pStyle w:val="null3"/>
            </w:pPr>
            <w:r>
              <w:rPr>
                <w:rFonts w:ascii="仿宋_GB2312" w:hAnsi="仿宋_GB2312" w:cs="仿宋_GB2312" w:eastAsia="仿宋_GB2312"/>
              </w:rPr>
              <w:t>信用声明.docx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第三方会计事务所审计过的财务报告，或磋商截止时间前90天内基本账户银行出具的资信证明。注：①提供财务报告的，内容至少包括审计报告、附注。审计报告需具有注册会计师行业统一监管平台（https://acc.mof.gov.cn/）赋予的验证码。②提供资信证明的，必须提供资信证明全部页以及基本户信息（提供开户许可证复印件或提供基本银行账户信息复印件加盖公章）。银行出具的存款证明不能代替资信证明，存款证明无效。</w:t>
            </w:r>
          </w:p>
        </w:tc>
        <w:tc>
          <w:tcPr>
            <w:tcW w:type="dxa" w:w="1661"/>
          </w:tcPr>
          <w:p>
            <w:pPr>
              <w:pStyle w:val="null3"/>
            </w:pPr>
            <w:r>
              <w:rPr>
                <w:rFonts w:ascii="仿宋_GB2312" w:hAnsi="仿宋_GB2312" w:cs="仿宋_GB2312" w:eastAsia="仿宋_GB2312"/>
              </w:rPr>
              <w:t>财务状况证明.docx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纳税凭证</w:t>
            </w:r>
          </w:p>
        </w:tc>
        <w:tc>
          <w:tcPr>
            <w:tcW w:type="dxa" w:w="3322"/>
          </w:tcPr>
          <w:p>
            <w:pPr>
              <w:pStyle w:val="null3"/>
            </w:pPr>
            <w:r>
              <w:rPr>
                <w:rFonts w:ascii="仿宋_GB2312" w:hAnsi="仿宋_GB2312" w:cs="仿宋_GB2312" w:eastAsia="仿宋_GB2312"/>
              </w:rPr>
              <w:t>提供2025年6月1日至今至少一个月依法纳税的相关凭证(任意税种)；依法免税或无须缴纳税收的应提供相关证明；成立不足一个月的提供将依法纳税的承诺书(格式自拟)。注:①零报税的提供申报成功的凭证。②时间以税款所属时段为准。</w:t>
            </w:r>
          </w:p>
        </w:tc>
        <w:tc>
          <w:tcPr>
            <w:tcW w:type="dxa" w:w="1661"/>
          </w:tcPr>
          <w:p>
            <w:pPr>
              <w:pStyle w:val="null3"/>
            </w:pPr>
            <w:r>
              <w:rPr>
                <w:rFonts w:ascii="仿宋_GB2312" w:hAnsi="仿宋_GB2312" w:cs="仿宋_GB2312" w:eastAsia="仿宋_GB2312"/>
              </w:rPr>
              <w:t>纳税证明.docx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社保缴纳凭证</w:t>
            </w:r>
          </w:p>
        </w:tc>
        <w:tc>
          <w:tcPr>
            <w:tcW w:type="dxa" w:w="3322"/>
          </w:tcPr>
          <w:p>
            <w:pPr>
              <w:pStyle w:val="null3"/>
            </w:pPr>
            <w:r>
              <w:rPr>
                <w:rFonts w:ascii="仿宋_GB2312" w:hAnsi="仿宋_GB2312" w:cs="仿宋_GB2312" w:eastAsia="仿宋_GB2312"/>
              </w:rPr>
              <w:t>提供2025年6月1日至今至少一个月的社会保障资金缴存凭证或社保机构开具的社会保险参保缴费情况凭证；依法不需要缴纳社会保障资金的提供相关证明；成立不足一个月的提供将依法交纳社会保障资金的承诺书（格式自拟）。注：①通过代缴方式缴存的，需提供链条完整的证明材料，证明材料至少包括代缴方的缴存凭证、投标人向代缴方用于缴存社保的银行转账单据。②供应商可自行打印带有社保机构公章的缴存凭证；提供银行交纳单据的，单据应显示社保缴存项（任一项）。</w:t>
            </w:r>
          </w:p>
        </w:tc>
        <w:tc>
          <w:tcPr>
            <w:tcW w:type="dxa" w:w="1661"/>
          </w:tcPr>
          <w:p>
            <w:pPr>
              <w:pStyle w:val="null3"/>
            </w:pPr>
            <w:r>
              <w:rPr>
                <w:rFonts w:ascii="仿宋_GB2312" w:hAnsi="仿宋_GB2312" w:cs="仿宋_GB2312" w:eastAsia="仿宋_GB2312"/>
              </w:rPr>
              <w:t>社会保障资金缴纳证明.docx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履约能力声明.docx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代表人授权</w:t>
            </w:r>
          </w:p>
        </w:tc>
        <w:tc>
          <w:tcPr>
            <w:tcW w:type="dxa" w:w="3322"/>
          </w:tcPr>
          <w:p>
            <w:pPr>
              <w:pStyle w:val="null3"/>
            </w:pPr>
            <w:r>
              <w:rPr>
                <w:rFonts w:ascii="仿宋_GB2312" w:hAnsi="仿宋_GB2312" w:cs="仿宋_GB2312" w:eastAsia="仿宋_GB2312"/>
              </w:rPr>
              <w:t>参加磋商的供应商代表需提供提法定代表人证明书和法定代表人授权书。</w:t>
            </w:r>
          </w:p>
        </w:tc>
        <w:tc>
          <w:tcPr>
            <w:tcW w:type="dxa" w:w="1661"/>
          </w:tcPr>
          <w:p>
            <w:pPr>
              <w:pStyle w:val="null3"/>
            </w:pPr>
            <w:r>
              <w:rPr>
                <w:rFonts w:ascii="仿宋_GB2312" w:hAnsi="仿宋_GB2312" w:cs="仿宋_GB2312" w:eastAsia="仿宋_GB2312"/>
              </w:rPr>
              <w:t>法定代表人证明书.docx 法定代表人授权委托书.docx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具备建筑工程施工总承包三级及以上资质、有效的安全生产许可证。提供资质证书及安全生产许可证。</w:t>
            </w:r>
          </w:p>
        </w:tc>
        <w:tc>
          <w:tcPr>
            <w:tcW w:type="dxa" w:w="1661"/>
          </w:tcPr>
          <w:p>
            <w:pPr>
              <w:pStyle w:val="null3"/>
            </w:pPr>
            <w:r>
              <w:rPr>
                <w:rFonts w:ascii="仿宋_GB2312" w:hAnsi="仿宋_GB2312" w:cs="仿宋_GB2312" w:eastAsia="仿宋_GB2312"/>
              </w:rPr>
              <w:t>资质证书.docx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拟派项目经理须为供应商单位注册的建筑工程专业二级及以上注册建造师，具有安全生产考核合格证（B证）且无在建工程。提供证书及无在建工程书面声明。</w:t>
            </w:r>
          </w:p>
        </w:tc>
        <w:tc>
          <w:tcPr>
            <w:tcW w:type="dxa" w:w="1661"/>
          </w:tcPr>
          <w:p>
            <w:pPr>
              <w:pStyle w:val="null3"/>
            </w:pPr>
            <w:r>
              <w:rPr>
                <w:rFonts w:ascii="仿宋_GB2312" w:hAnsi="仿宋_GB2312" w:cs="仿宋_GB2312" w:eastAsia="仿宋_GB2312"/>
              </w:rPr>
              <w:t>项目经理资格证书及无在建声明.docx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联合体形式</w:t>
            </w:r>
          </w:p>
        </w:tc>
        <w:tc>
          <w:tcPr>
            <w:tcW w:type="dxa" w:w="3322"/>
          </w:tcPr>
          <w:p>
            <w:pPr>
              <w:pStyle w:val="null3"/>
            </w:pPr>
            <w:r>
              <w:rPr>
                <w:rFonts w:ascii="仿宋_GB2312" w:hAnsi="仿宋_GB2312" w:cs="仿宋_GB2312" w:eastAsia="仿宋_GB2312"/>
              </w:rPr>
              <w:t>本项目不接受联合体，提供非联合体声明。</w:t>
            </w:r>
          </w:p>
        </w:tc>
        <w:tc>
          <w:tcPr>
            <w:tcW w:type="dxa" w:w="1661"/>
          </w:tcPr>
          <w:p>
            <w:pPr>
              <w:pStyle w:val="null3"/>
            </w:pPr>
            <w:r>
              <w:rPr>
                <w:rFonts w:ascii="仿宋_GB2312" w:hAnsi="仿宋_GB2312" w:cs="仿宋_GB2312" w:eastAsia="仿宋_GB2312"/>
              </w:rPr>
              <w:t>非联合体声明.docx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采购评审中出现下列情形之一的，磋商小组应当启动异常低价响应审查程序: (1)响应报价低于全部通过符合性审查供应商响应报价平均值50%的，即响应报价〈全部通过符合性审查供应商响应报价平均值X50％； (2)响应报价低于通过符合性审查的次低报价供应商响应报价的50%，即响应报价〈通过符合性审查的次低报价供应商响应报价X50%； (3)响应报价低于采购项目最高限价45%的，即响应报价&lt;采购项目最高限价X45%； (4)磋商小组基于专业判断，认为供应商报价过低，有可能影响产品质量或者不能诚信履约的其他情形。 磋商小组启动异常低价响应审查后，属于前述第(1)项至第(4)项情形的，应当要求相关供应商在评审现场于30分钟内对响应价格作出解释，提供项目具体成本测算等与报价合理性相关的书面说明(书面说明应当按照国家财务会计制度的规定要求，逐项就供应商提供服务的主营业务成本、税金及附加、销售费用、管理费用、财务费用等成本构成进行说明)及必要的证明材料(类似项目类似报价合同、验收报告、发票等；其中，属于第(3)项情形，供应商已随响应文件一并提交相关书面说明及必要的证明材料的，在评审现场可不再重复提交。供应商不能证明其报价合理性的或者未在规定时间内提交材料或者提交了材料但是材料不齐全的，磋商小组应当将其作为无效响应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按格式填写供应商名称，至少以下文件中供应商名称应与营业执照、公章一致。1.响应文件封面。2.响应函。</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首次报价</w:t>
            </w:r>
          </w:p>
        </w:tc>
        <w:tc>
          <w:tcPr>
            <w:tcW w:type="dxa" w:w="3322"/>
          </w:tcPr>
          <w:p>
            <w:pPr>
              <w:pStyle w:val="null3"/>
            </w:pPr>
            <w:r>
              <w:rPr>
                <w:rFonts w:ascii="仿宋_GB2312" w:hAnsi="仿宋_GB2312" w:cs="仿宋_GB2312" w:eastAsia="仿宋_GB2312"/>
              </w:rPr>
              <w:t>未超过最高限价且无选择性报价</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45日历天</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验收合格后2年</w:t>
            </w:r>
          </w:p>
        </w:tc>
        <w:tc>
          <w:tcPr>
            <w:tcW w:type="dxa" w:w="1661"/>
          </w:tcPr>
          <w:p>
            <w:pPr>
              <w:pStyle w:val="null3"/>
            </w:pPr>
            <w:r>
              <w:rPr>
                <w:rFonts w:ascii="仿宋_GB2312" w:hAnsi="仿宋_GB2312" w:cs="仿宋_GB2312" w:eastAsia="仿宋_GB2312"/>
              </w:rPr>
              <w:t>质保期响应函.docx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达到国家现行施工验收规范合格标准，并满足采购文件、合同及校园人行使用要求。</w:t>
            </w:r>
          </w:p>
        </w:tc>
        <w:tc>
          <w:tcPr>
            <w:tcW w:type="dxa" w:w="1661"/>
          </w:tcPr>
          <w:p>
            <w:pPr>
              <w:pStyle w:val="null3"/>
            </w:pPr>
            <w:r>
              <w:rPr>
                <w:rFonts w:ascii="仿宋_GB2312" w:hAnsi="仿宋_GB2312" w:cs="仿宋_GB2312" w:eastAsia="仿宋_GB2312"/>
              </w:rPr>
              <w:t>质量标准响应函.docx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主要商务条款</w:t>
            </w:r>
          </w:p>
        </w:tc>
        <w:tc>
          <w:tcPr>
            <w:tcW w:type="dxa" w:w="3322"/>
          </w:tcPr>
          <w:p>
            <w:pPr>
              <w:pStyle w:val="null3"/>
            </w:pPr>
            <w:r>
              <w:rPr>
                <w:rFonts w:ascii="仿宋_GB2312" w:hAnsi="仿宋_GB2312" w:cs="仿宋_GB2312" w:eastAsia="仿宋_GB2312"/>
              </w:rPr>
              <w:t>1.合同价款 ①本项目采用固定综合单价合同。 ②综合单价修正系数： 修正系数=磋商最终报价/首次报价。 2.变更、签证价款① 工程量清单报价中已有工程综合单价的，按已有综合单价结算；② 工程量清单报价中只有类似工程项目的，双方可以参照同标准类似综合单价协商认可的综合单价结算；③工程量清单报价中没有的工程项目内容，经甲方代表确认后，乙方可重新组价并上报，组价依据施工图、设计变更、陕西省建设工程费用规则（2025）、陕西省房屋建筑与装饰工程消耗量定额（2025）、陕西省通用安装工程消耗量定额（2025）、2001《全统修善定额土建工程、安装工程陕西价目表》、陕西省房屋建筑与装饰工程基价表（2025）、陕西省通用安装工程基价表（2025）及相应的费率，经甲方审核确认的价款为该变更签证价款。 3.付款方式：待工程竣工验收合格后付至合同金额的80%；经学校审计后付至审定金额的100%；但前期支付金额超过审定金额的成交人应当退还。 对以上商务条款响应无负偏离。</w:t>
            </w:r>
          </w:p>
        </w:tc>
        <w:tc>
          <w:tcPr>
            <w:tcW w:type="dxa" w:w="1661"/>
          </w:tcPr>
          <w:p>
            <w:pPr>
              <w:pStyle w:val="null3"/>
            </w:pPr>
            <w:r>
              <w:rPr>
                <w:rFonts w:ascii="仿宋_GB2312" w:hAnsi="仿宋_GB2312" w:cs="仿宋_GB2312" w:eastAsia="仿宋_GB2312"/>
              </w:rPr>
              <w:t>主要商务条款响应偏离表.docx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已标价工程量清单的扉页（仅指投标总价扉页）需加盖有注册或登记在工程造价咨询企业的造价人员签字并盖执业印章</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法律、法规和磋商文件规定的其他无效情形</w:t>
            </w:r>
          </w:p>
        </w:tc>
        <w:tc>
          <w:tcPr>
            <w:tcW w:type="dxa" w:w="3322"/>
          </w:tcPr>
          <w:p>
            <w:pPr>
              <w:pStyle w:val="null3"/>
            </w:pPr>
            <w:r>
              <w:rPr>
                <w:rFonts w:ascii="仿宋_GB2312" w:hAnsi="仿宋_GB2312" w:cs="仿宋_GB2312" w:eastAsia="仿宋_GB2312"/>
              </w:rPr>
              <w:t>没有法律、法规和磋商文件规定的其他无效情形</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施工组织设计</w:t>
            </w:r>
          </w:p>
        </w:tc>
        <w:tc>
          <w:tcPr>
            <w:tcW w:type="dxa" w:w="2492"/>
          </w:tcPr>
          <w:p>
            <w:pPr>
              <w:pStyle w:val="null3"/>
            </w:pPr>
            <w:r>
              <w:rPr>
                <w:rFonts w:ascii="仿宋_GB2312" w:hAnsi="仿宋_GB2312" w:cs="仿宋_GB2312" w:eastAsia="仿宋_GB2312"/>
              </w:rPr>
              <w:t>一、评审内容 供应商针对本项目提供施工组织设计。 内容包括 ①施工方案及施工技术措施②确保工程质量的技术组织措施③确保安全生产的技术组织措施④确保工期的技术组织措施⑤确保文明施工的技术组织措施及环境保护措施⑥施工机械配备计划⑦施工进度表或施工网络图⑧劳动力安排计划 二、评审标准 1、完整性：方案全面，对评审内容中的各项要求描述详细； 2、可实施性：切合本项目实际情况，实施步骤清晰、合理； 3、针对性：方案能够紧扣项目实际情况， 内容科学合理。 三、赋分依据 以上各项评审内容，每完全满足一个评审标准得 1分，满分 3 分；未提供不得分。本大项满分24分。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主要材料清单</w:t>
            </w:r>
          </w:p>
        </w:tc>
        <w:tc>
          <w:tcPr>
            <w:tcW w:type="dxa" w:w="2492"/>
          </w:tcPr>
          <w:p>
            <w:pPr>
              <w:pStyle w:val="null3"/>
            </w:pPr>
            <w:r>
              <w:rPr>
                <w:rFonts w:ascii="仿宋_GB2312" w:hAnsi="仿宋_GB2312" w:cs="仿宋_GB2312" w:eastAsia="仿宋_GB2312"/>
              </w:rPr>
              <w:t>供应商应提供本项目施工所需主要材料清单（主要材料至少包含PC仿石砖、花岗岩外道牙、青石板内道牙、防锈钢质分隔条、土工布、植草格），品目完整，品牌明确计3分，品目不完整或品牌不明确不计分。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主要材料清单.docx</w:t>
            </w:r>
          </w:p>
        </w:tc>
      </w:tr>
      <w:tr>
        <w:tc>
          <w:tcPr>
            <w:tcW w:type="dxa" w:w="831"/>
            <w:vMerge/>
          </w:tcPr>
          <w:p/>
        </w:tc>
        <w:tc>
          <w:tcPr>
            <w:tcW w:type="dxa" w:w="1661"/>
          </w:tcPr>
          <w:p>
            <w:pPr>
              <w:pStyle w:val="null3"/>
            </w:pPr>
            <w:r>
              <w:rPr>
                <w:rFonts w:ascii="仿宋_GB2312" w:hAnsi="仿宋_GB2312" w:cs="仿宋_GB2312" w:eastAsia="仿宋_GB2312"/>
              </w:rPr>
              <w:t>核心材料技术参数</w:t>
            </w:r>
          </w:p>
        </w:tc>
        <w:tc>
          <w:tcPr>
            <w:tcW w:type="dxa" w:w="2492"/>
          </w:tcPr>
          <w:p>
            <w:pPr>
              <w:pStyle w:val="null3"/>
            </w:pPr>
            <w:r>
              <w:rPr>
                <w:rFonts w:ascii="仿宋_GB2312" w:hAnsi="仿宋_GB2312" w:cs="仿宋_GB2312" w:eastAsia="仿宋_GB2312"/>
              </w:rPr>
              <w:t>供应商提供针对本项目拟投入核心施工材料（PC仿石砖、花岗岩外道牙）技术参数证明材料（带有CMA的检测报告/制造商公开发行的产品宣传彩页/制造商官网截图等），每提供一项参数的证明材料得2分，最多得14分。 参数要求： 1.PC 仿石砖： ①抗压强度：≥Cc40 ； ②面层石英砂厚度：≥3mm ； ③吸水率：≤6.5% ； ④磨坑长度：≤35mm 。 2.花岗岩外道牙 ①抗压强度：≥100MPa ； ②表观密度：≥2650kg/m³ ； ③吸水率：≤0.6% 。</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核心材料技术参数.docx</w:t>
            </w:r>
          </w:p>
        </w:tc>
      </w:tr>
      <w:tr>
        <w:tc>
          <w:tcPr>
            <w:tcW w:type="dxa" w:w="831"/>
            <w:vMerge/>
          </w:tcPr>
          <w:p/>
        </w:tc>
        <w:tc>
          <w:tcPr>
            <w:tcW w:type="dxa" w:w="1661"/>
          </w:tcPr>
          <w:p>
            <w:pPr>
              <w:pStyle w:val="null3"/>
            </w:pPr>
            <w:r>
              <w:rPr>
                <w:rFonts w:ascii="仿宋_GB2312" w:hAnsi="仿宋_GB2312" w:cs="仿宋_GB2312" w:eastAsia="仿宋_GB2312"/>
              </w:rPr>
              <w:t>主要材料市场调研情况说明</w:t>
            </w:r>
          </w:p>
        </w:tc>
        <w:tc>
          <w:tcPr>
            <w:tcW w:type="dxa" w:w="2492"/>
          </w:tcPr>
          <w:p>
            <w:pPr>
              <w:pStyle w:val="null3"/>
            </w:pPr>
            <w:r>
              <w:rPr>
                <w:rFonts w:ascii="仿宋_GB2312" w:hAnsi="仿宋_GB2312" w:cs="仿宋_GB2312" w:eastAsia="仿宋_GB2312"/>
              </w:rPr>
              <w:t>供应商针对本项目提供主要材料（至少包含PC仿石砖、花岗岩外道牙、青石板内道牙、防锈钢质分隔条、土工布、植草格）的市场调研情况说明，内容包括但不限于①市场目前类似项目主要材料的用料现状②市场主流品牌和市场占有率③主要技术要求和优缺点④本项目所用产品的选用说明和技术特点等。 1.调研内容完整，对评审内容中的各项要求描述详细得3分；调研内容相对完整或对评审内容中的各项要求有简单的描述得1分，未提供不得分。 2.选用主要材料为市场主流产品，选用依据表述清晰，针对性强得3分；选用主要材料为市场主流产品，选用依据表述不清晰，针对性差得1分，未提供不得分。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主要材料市场调研情况说明.docx</w:t>
            </w:r>
          </w:p>
        </w:tc>
      </w:tr>
      <w:tr>
        <w:tc>
          <w:tcPr>
            <w:tcW w:type="dxa" w:w="831"/>
            <w:vMerge/>
          </w:tcPr>
          <w:p/>
        </w:tc>
        <w:tc>
          <w:tcPr>
            <w:tcW w:type="dxa" w:w="1661"/>
          </w:tcPr>
          <w:p>
            <w:pPr>
              <w:pStyle w:val="null3"/>
            </w:pPr>
            <w:r>
              <w:rPr>
                <w:rFonts w:ascii="仿宋_GB2312" w:hAnsi="仿宋_GB2312" w:cs="仿宋_GB2312" w:eastAsia="仿宋_GB2312"/>
              </w:rPr>
              <w:t>主材质量保证承诺</w:t>
            </w:r>
          </w:p>
        </w:tc>
        <w:tc>
          <w:tcPr>
            <w:tcW w:type="dxa" w:w="2492"/>
          </w:tcPr>
          <w:p>
            <w:pPr>
              <w:pStyle w:val="null3"/>
            </w:pPr>
            <w:r>
              <w:rPr>
                <w:rFonts w:ascii="仿宋_GB2312" w:hAnsi="仿宋_GB2312" w:cs="仿宋_GB2312" w:eastAsia="仿宋_GB2312"/>
              </w:rPr>
              <w:t>供应商提供施工所需主要材料无假冒产品、无翻新产品的书面承诺并加盖供应商公章，得2分。 注：未提供承诺书不得分，承诺书格式自拟。</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主材质量保证承诺.docx</w:t>
            </w:r>
          </w:p>
        </w:tc>
      </w:tr>
      <w:tr>
        <w:tc>
          <w:tcPr>
            <w:tcW w:type="dxa" w:w="831"/>
            <w:vMerge/>
          </w:tcPr>
          <w:p/>
        </w:tc>
        <w:tc>
          <w:tcPr>
            <w:tcW w:type="dxa" w:w="1661"/>
          </w:tcPr>
          <w:p>
            <w:pPr>
              <w:pStyle w:val="null3"/>
            </w:pPr>
            <w:r>
              <w:rPr>
                <w:rFonts w:ascii="仿宋_GB2312" w:hAnsi="仿宋_GB2312" w:cs="仿宋_GB2312" w:eastAsia="仿宋_GB2312"/>
              </w:rPr>
              <w:t>维保服务方案</w:t>
            </w:r>
          </w:p>
        </w:tc>
        <w:tc>
          <w:tcPr>
            <w:tcW w:type="dxa" w:w="2492"/>
          </w:tcPr>
          <w:p>
            <w:pPr>
              <w:pStyle w:val="null3"/>
            </w:pPr>
            <w:r>
              <w:rPr>
                <w:rFonts w:ascii="仿宋_GB2312" w:hAnsi="仿宋_GB2312" w:cs="仿宋_GB2312" w:eastAsia="仿宋_GB2312"/>
              </w:rPr>
              <w:t>一、评审内容 供应商针对本项目提供维保服务方案，包括但不限于①维保内容②维保机构、响应时间及承诺等。 二、评审标准 1、完整性：方案全面，对评审内容中的各项要求描述详细； 2、可实施性：切合本项目实际情况，实施步骤清晰、合理； 3、针对性：方案能够紧扣项目实际情况， 内容科学合理。 三、赋分依据 以上各项评审内容，每完全满足一个评审标准得1分，满分3分；未提供不得分。本大项满分6分。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维保服务方案.docx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在满足磋商文件要求质保期（两年）的基础上，供应商可根据自身情况延长质保年限，质保期每增加1年得1分，最高5分。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质保期响应函.docx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1.项目经理具有工程类高级及以上职称的得2分，中级职称的得1分，其他的不得分。注：需提供职称证。 2.提供项目经理自2023年 6月1日至今（以合同签订时间为准）的类似业绩合同，每提供 1 项得 1 分，最多得 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项目经理职称及业绩.docx</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提供供应商自2023年6月 1日至今（时间以合同签订时间为准）的类似业绩合同，每提供1个得1分，最多得5分。 注：项目经理业绩可与企业业绩可重复计分。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业绩情况表.docx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最低价优先法，即实质性满足磋商文件要求且最终磋商报价最低的为磋商基准价，其价格分为满分30分。其他供应商的价格分按照下列公式计算：磋商报价得分=(磋商基准价/磋商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详见附件：注册证照.docx</w:t>
      </w:r>
    </w:p>
    <w:p>
      <w:pPr>
        <w:pStyle w:val="null3"/>
        <w:ind w:firstLine="960"/>
      </w:pPr>
      <w:r>
        <w:rPr>
          <w:rFonts w:ascii="仿宋_GB2312" w:hAnsi="仿宋_GB2312" w:cs="仿宋_GB2312" w:eastAsia="仿宋_GB2312"/>
        </w:rPr>
        <w:t>详见附件：资质证书.docx</w:t>
      </w:r>
    </w:p>
    <w:p>
      <w:pPr>
        <w:pStyle w:val="null3"/>
        <w:ind w:firstLine="960"/>
      </w:pPr>
      <w:r>
        <w:rPr>
          <w:rFonts w:ascii="仿宋_GB2312" w:hAnsi="仿宋_GB2312" w:cs="仿宋_GB2312" w:eastAsia="仿宋_GB2312"/>
        </w:rPr>
        <w:t>详见附件：信用声明.docx</w:t>
      </w:r>
    </w:p>
    <w:p>
      <w:pPr>
        <w:pStyle w:val="null3"/>
        <w:ind w:firstLine="960"/>
      </w:pPr>
      <w:r>
        <w:rPr>
          <w:rFonts w:ascii="仿宋_GB2312" w:hAnsi="仿宋_GB2312" w:cs="仿宋_GB2312" w:eastAsia="仿宋_GB2312"/>
        </w:rPr>
        <w:t>详见附件：项目经理资格证书及无在建声明.docx</w:t>
      </w:r>
    </w:p>
    <w:p>
      <w:pPr>
        <w:pStyle w:val="null3"/>
        <w:ind w:firstLine="960"/>
      </w:pPr>
      <w:r>
        <w:rPr>
          <w:rFonts w:ascii="仿宋_GB2312" w:hAnsi="仿宋_GB2312" w:cs="仿宋_GB2312" w:eastAsia="仿宋_GB2312"/>
        </w:rPr>
        <w:t>详见附件：社会保障资金缴纳证明.docx</w:t>
      </w:r>
    </w:p>
    <w:p>
      <w:pPr>
        <w:pStyle w:val="null3"/>
        <w:ind w:firstLine="960"/>
      </w:pPr>
      <w:r>
        <w:rPr>
          <w:rFonts w:ascii="仿宋_GB2312" w:hAnsi="仿宋_GB2312" w:cs="仿宋_GB2312" w:eastAsia="仿宋_GB2312"/>
        </w:rPr>
        <w:t>详见附件：履约能力声明.docx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详见附件：法定代表人证明书.docx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详见附件：财务状况证明.docx</w:t>
      </w:r>
    </w:p>
    <w:p>
      <w:pPr>
        <w:pStyle w:val="null3"/>
        <w:ind w:firstLine="960"/>
      </w:pPr>
      <w:r>
        <w:rPr>
          <w:rFonts w:ascii="仿宋_GB2312" w:hAnsi="仿宋_GB2312" w:cs="仿宋_GB2312" w:eastAsia="仿宋_GB2312"/>
        </w:rPr>
        <w:t>详见附件：纳税证明.docx</w:t>
      </w:r>
    </w:p>
    <w:p>
      <w:pPr>
        <w:pStyle w:val="null3"/>
        <w:ind w:firstLine="960"/>
      </w:pPr>
      <w:r>
        <w:rPr>
          <w:rFonts w:ascii="仿宋_GB2312" w:hAnsi="仿宋_GB2312" w:cs="仿宋_GB2312" w:eastAsia="仿宋_GB2312"/>
        </w:rPr>
        <w:t>详见附件：核心材料技术参数.docx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详见附件：维保服务方案.docx</w:t>
      </w:r>
    </w:p>
    <w:p>
      <w:pPr>
        <w:pStyle w:val="null3"/>
        <w:ind w:firstLine="960"/>
      </w:pPr>
      <w:r>
        <w:rPr>
          <w:rFonts w:ascii="仿宋_GB2312" w:hAnsi="仿宋_GB2312" w:cs="仿宋_GB2312" w:eastAsia="仿宋_GB2312"/>
        </w:rPr>
        <w:t>详见附件：项目经理职称及业绩.docx</w:t>
      </w:r>
    </w:p>
    <w:p>
      <w:pPr>
        <w:pStyle w:val="null3"/>
        <w:ind w:firstLine="960"/>
      </w:pPr>
      <w:r>
        <w:rPr>
          <w:rFonts w:ascii="仿宋_GB2312" w:hAnsi="仿宋_GB2312" w:cs="仿宋_GB2312" w:eastAsia="仿宋_GB2312"/>
        </w:rPr>
        <w:t>详见附件：业绩情况表.docx</w:t>
      </w:r>
    </w:p>
    <w:p>
      <w:pPr>
        <w:pStyle w:val="null3"/>
        <w:ind w:firstLine="960"/>
      </w:pPr>
      <w:r>
        <w:rPr>
          <w:rFonts w:ascii="仿宋_GB2312" w:hAnsi="仿宋_GB2312" w:cs="仿宋_GB2312" w:eastAsia="仿宋_GB2312"/>
        </w:rPr>
        <w:t>详见附件：质保期响应函.docx</w:t>
      </w:r>
    </w:p>
    <w:p>
      <w:pPr>
        <w:pStyle w:val="null3"/>
        <w:ind w:firstLine="960"/>
      </w:pPr>
      <w:r>
        <w:rPr>
          <w:rFonts w:ascii="仿宋_GB2312" w:hAnsi="仿宋_GB2312" w:cs="仿宋_GB2312" w:eastAsia="仿宋_GB2312"/>
        </w:rPr>
        <w:t>详见附件：质量标准响应函.docx</w:t>
      </w:r>
    </w:p>
    <w:p>
      <w:pPr>
        <w:pStyle w:val="null3"/>
        <w:ind w:firstLine="960"/>
      </w:pPr>
      <w:r>
        <w:rPr>
          <w:rFonts w:ascii="仿宋_GB2312" w:hAnsi="仿宋_GB2312" w:cs="仿宋_GB2312" w:eastAsia="仿宋_GB2312"/>
        </w:rPr>
        <w:t>详见附件：主材质量保证承诺.docx</w:t>
      </w:r>
    </w:p>
    <w:p>
      <w:pPr>
        <w:pStyle w:val="null3"/>
        <w:ind w:firstLine="960"/>
      </w:pPr>
      <w:r>
        <w:rPr>
          <w:rFonts w:ascii="仿宋_GB2312" w:hAnsi="仿宋_GB2312" w:cs="仿宋_GB2312" w:eastAsia="仿宋_GB2312"/>
        </w:rPr>
        <w:t>详见附件：主要材料清单.docx</w:t>
      </w:r>
    </w:p>
    <w:p>
      <w:pPr>
        <w:pStyle w:val="null3"/>
        <w:ind w:firstLine="960"/>
      </w:pPr>
      <w:r>
        <w:rPr>
          <w:rFonts w:ascii="仿宋_GB2312" w:hAnsi="仿宋_GB2312" w:cs="仿宋_GB2312" w:eastAsia="仿宋_GB2312"/>
        </w:rPr>
        <w:t>详见附件：主要材料市场调研情况说明.docx</w:t>
      </w:r>
    </w:p>
    <w:p>
      <w:pPr>
        <w:pStyle w:val="null3"/>
        <w:ind w:firstLine="960"/>
      </w:pPr>
      <w:r>
        <w:rPr>
          <w:rFonts w:ascii="仿宋_GB2312" w:hAnsi="仿宋_GB2312" w:cs="仿宋_GB2312" w:eastAsia="仿宋_GB2312"/>
        </w:rPr>
        <w:t>详见附件：主要商务条款响应偏离表.docx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