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4F3C20">
      <w:pPr>
        <w:ind w:left="0" w:leftChars="0" w:right="0" w:rightChars="0" w:firstLine="0" w:firstLineChars="0"/>
        <w:jc w:val="center"/>
        <w:rPr>
          <w:rFonts w:hint="eastAsia" w:ascii="黑体" w:hAnsi="黑体" w:eastAsia="黑体" w:cs="黑体"/>
          <w:spacing w:val="7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pacing w:val="7"/>
          <w:kern w:val="0"/>
          <w:sz w:val="32"/>
          <w:szCs w:val="32"/>
          <w:lang w:val="en-US" w:eastAsia="zh-CN"/>
        </w:rPr>
        <w:t>主要商务条款响应偏离表</w:t>
      </w:r>
    </w:p>
    <w:tbl>
      <w:tblPr>
        <w:tblStyle w:val="3"/>
        <w:tblW w:w="4998" w:type="pct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8"/>
        <w:gridCol w:w="1171"/>
        <w:gridCol w:w="5619"/>
        <w:gridCol w:w="1191"/>
      </w:tblGrid>
      <w:tr w14:paraId="6BFC2AC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316" w:type="pct"/>
            <w:tcBorders>
              <w:tl2br w:val="nil"/>
              <w:tr2bl w:val="nil"/>
            </w:tcBorders>
            <w:vAlign w:val="center"/>
          </w:tcPr>
          <w:p w14:paraId="5639F3C5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687" w:type="pct"/>
            <w:tcBorders>
              <w:tl2br w:val="nil"/>
              <w:tr2bl w:val="nil"/>
            </w:tcBorders>
            <w:vAlign w:val="center"/>
          </w:tcPr>
          <w:p w14:paraId="216B0836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条款</w:t>
            </w:r>
          </w:p>
        </w:tc>
        <w:tc>
          <w:tcPr>
            <w:tcW w:w="3297" w:type="pct"/>
            <w:tcBorders>
              <w:tl2br w:val="nil"/>
              <w:tr2bl w:val="nil"/>
            </w:tcBorders>
            <w:vAlign w:val="center"/>
          </w:tcPr>
          <w:p w14:paraId="3B85F584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en-US"/>
              </w:rPr>
              <w:t>内容</w:t>
            </w:r>
          </w:p>
        </w:tc>
        <w:tc>
          <w:tcPr>
            <w:tcW w:w="699" w:type="pct"/>
            <w:tcBorders>
              <w:tl2br w:val="nil"/>
              <w:tr2bl w:val="nil"/>
            </w:tcBorders>
            <w:vAlign w:val="center"/>
          </w:tcPr>
          <w:p w14:paraId="12F9C806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en-US"/>
              </w:rPr>
              <w:t>响应说明</w:t>
            </w:r>
          </w:p>
        </w:tc>
      </w:tr>
      <w:tr w14:paraId="00C7AA5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31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50DA93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8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AFD8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合同</w:t>
            </w:r>
          </w:p>
          <w:p w14:paraId="71E1600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价款</w:t>
            </w:r>
          </w:p>
        </w:tc>
        <w:tc>
          <w:tcPr>
            <w:tcW w:w="329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6E75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1.本项目采用固定综合单价合同。 </w:t>
            </w:r>
          </w:p>
          <w:p w14:paraId="78100F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2.综合单价修正系数： 修正系数=磋商最终报价/首次报价。 </w:t>
            </w:r>
          </w:p>
        </w:tc>
        <w:tc>
          <w:tcPr>
            <w:tcW w:w="699" w:type="pct"/>
            <w:tcBorders>
              <w:tl2br w:val="nil"/>
              <w:tr2bl w:val="nil"/>
            </w:tcBorders>
            <w:vAlign w:val="center"/>
          </w:tcPr>
          <w:p w14:paraId="01A9C531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</w:tr>
      <w:tr w14:paraId="1C15970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316" w:type="pct"/>
            <w:tcBorders>
              <w:tl2br w:val="nil"/>
              <w:tr2bl w:val="nil"/>
            </w:tcBorders>
            <w:vAlign w:val="center"/>
          </w:tcPr>
          <w:p w14:paraId="42DB6EC7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87" w:type="pct"/>
            <w:tcBorders>
              <w:tl2br w:val="nil"/>
              <w:tr2bl w:val="nil"/>
            </w:tcBorders>
            <w:vAlign w:val="center"/>
          </w:tcPr>
          <w:p w14:paraId="2023A2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变更、签证价款</w:t>
            </w:r>
          </w:p>
        </w:tc>
        <w:tc>
          <w:tcPr>
            <w:tcW w:w="3297" w:type="pct"/>
            <w:tcBorders>
              <w:tl2br w:val="nil"/>
              <w:tr2bl w:val="nil"/>
            </w:tcBorders>
            <w:vAlign w:val="center"/>
          </w:tcPr>
          <w:p w14:paraId="1B3FE5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1.工程量清单报价中已有工程综合单价的，按已有综合单价结算；</w:t>
            </w:r>
          </w:p>
          <w:p w14:paraId="2CEE29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2.工程量清单报价中只有类似工程项目的，双方可以参照同标准类似综合单价协商认可的综合单价结算；</w:t>
            </w:r>
          </w:p>
          <w:p w14:paraId="743FEB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3.工程量清单报价中没有的工程项目内容，经甲方代表确认后，乙方可重新组价并上报，组价依据施工图、设计变更、陕西省建设工程费用规则（2025）、陕西省房屋建筑与装饰工程消耗量定额（2025）、陕西省通用安装工程消耗量定额（2025）、2001《全统修善定额土建工程、安装工程陕西价目表》、陕西省房屋建筑与装饰工程基价表（2025）、陕西省通用安装工程基价表（2025）及相应的费率，经甲方审核确认的价款为该变更签证价款。 </w:t>
            </w:r>
          </w:p>
        </w:tc>
        <w:tc>
          <w:tcPr>
            <w:tcW w:w="699" w:type="pct"/>
            <w:tcBorders>
              <w:tl2br w:val="nil"/>
              <w:tr2bl w:val="nil"/>
            </w:tcBorders>
            <w:vAlign w:val="center"/>
          </w:tcPr>
          <w:p w14:paraId="57EDF5A7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</w:tr>
      <w:tr w14:paraId="3311513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9" w:hRule="atLeast"/>
        </w:trPr>
        <w:tc>
          <w:tcPr>
            <w:tcW w:w="316" w:type="pct"/>
            <w:tcBorders>
              <w:tl2br w:val="nil"/>
              <w:tr2bl w:val="nil"/>
            </w:tcBorders>
            <w:vAlign w:val="center"/>
          </w:tcPr>
          <w:p w14:paraId="38315CD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87" w:type="pct"/>
            <w:tcBorders>
              <w:tl2br w:val="nil"/>
              <w:tr2bl w:val="nil"/>
            </w:tcBorders>
            <w:vAlign w:val="center"/>
          </w:tcPr>
          <w:p w14:paraId="7C96CE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付款</w:t>
            </w:r>
          </w:p>
          <w:p w14:paraId="1164E8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方式</w:t>
            </w:r>
          </w:p>
        </w:tc>
        <w:tc>
          <w:tcPr>
            <w:tcW w:w="3297" w:type="pct"/>
            <w:tcBorders>
              <w:tl2br w:val="nil"/>
              <w:tr2bl w:val="nil"/>
            </w:tcBorders>
            <w:vAlign w:val="center"/>
          </w:tcPr>
          <w:p w14:paraId="15C980D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 xml:space="preserve">待工程竣工验收合格后付至合同金额的80%；经学校审计后付至审定金额的100%；但前期支付金额超过审定金额的成交人应当退还。  </w:t>
            </w:r>
          </w:p>
        </w:tc>
        <w:tc>
          <w:tcPr>
            <w:tcW w:w="699" w:type="pct"/>
            <w:tcBorders>
              <w:tl2br w:val="nil"/>
              <w:tr2bl w:val="nil"/>
            </w:tcBorders>
            <w:vAlign w:val="center"/>
          </w:tcPr>
          <w:p w14:paraId="5FBA93F2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</w:tr>
    </w:tbl>
    <w:p w14:paraId="05D0D783">
      <w:pPr>
        <w:rPr>
          <w:rFonts w:hint="eastAsia" w:ascii="楷体_GB2312" w:hAnsi="宋体" w:eastAsia="楷体_GB2312" w:cs="宋体"/>
          <w:color w:val="000000"/>
          <w:kern w:val="0"/>
          <w:sz w:val="22"/>
          <w:szCs w:val="21"/>
          <w:lang w:eastAsia="zh-CN"/>
        </w:rPr>
      </w:pPr>
    </w:p>
    <w:p w14:paraId="1B4D1A95">
      <w:pPr>
        <w:rPr>
          <w:rFonts w:hint="default" w:ascii="黑体" w:hAnsi="黑体" w:eastAsia="黑体" w:cs="黑体"/>
          <w:spacing w:val="7"/>
          <w:kern w:val="0"/>
          <w:sz w:val="32"/>
          <w:szCs w:val="32"/>
          <w:lang w:val="en-US" w:eastAsia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22"/>
          <w:szCs w:val="21"/>
          <w:lang w:val="en-US" w:eastAsia="zh-CN"/>
        </w:rPr>
        <w:t>注：</w:t>
      </w:r>
      <w:r>
        <w:rPr>
          <w:rFonts w:hint="eastAsia" w:ascii="楷体_GB2312" w:hAnsi="宋体" w:eastAsia="楷体_GB2312" w:cs="宋体"/>
          <w:color w:val="000000"/>
          <w:kern w:val="0"/>
          <w:sz w:val="22"/>
          <w:szCs w:val="21"/>
          <w:lang w:eastAsia="zh-CN"/>
        </w:rPr>
        <w:t>响应说明填写：优于、等于、低于。</w:t>
      </w:r>
      <w:r>
        <w:rPr>
          <w:rFonts w:hint="eastAsia" w:ascii="楷体_GB2312" w:hAnsi="宋体" w:eastAsia="楷体_GB2312" w:cs="宋体"/>
          <w:color w:val="000000"/>
          <w:kern w:val="0"/>
          <w:sz w:val="22"/>
          <w:szCs w:val="21"/>
          <w:lang w:val="en-US" w:eastAsia="zh-CN"/>
        </w:rPr>
        <w:t>未填写的视为低于。</w:t>
      </w:r>
    </w:p>
    <w:p w14:paraId="3915BA52">
      <w:pPr>
        <w:rPr>
          <w:rFonts w:hint="eastAsia" w:ascii="黑体" w:hAnsi="黑体" w:eastAsia="黑体" w:cs="黑体"/>
          <w:spacing w:val="7"/>
          <w:kern w:val="0"/>
          <w:sz w:val="32"/>
          <w:szCs w:val="32"/>
          <w:lang w:val="en-US" w:eastAsia="zh-CN"/>
        </w:rPr>
      </w:pPr>
    </w:p>
    <w:p w14:paraId="16A94F30">
      <w:pPr>
        <w:rPr>
          <w:rFonts w:hint="eastAsia" w:ascii="黑体" w:hAnsi="黑体" w:eastAsia="黑体" w:cs="黑体"/>
          <w:spacing w:val="7"/>
          <w:kern w:val="0"/>
          <w:sz w:val="32"/>
          <w:szCs w:val="32"/>
          <w:lang w:val="en-US" w:eastAsia="zh-CN"/>
        </w:rPr>
      </w:pPr>
    </w:p>
    <w:p w14:paraId="0120B2C8">
      <w:r>
        <w:rPr>
          <w:rFonts w:hint="eastAsia" w:ascii="Calibri" w:hAnsi="Calibri" w:eastAsia="宋体" w:cs="Times New Roman"/>
          <w:b w:val="0"/>
          <w:bCs w:val="0"/>
          <w:kern w:val="0"/>
          <w:sz w:val="24"/>
          <w:szCs w:val="24"/>
          <w:lang w:val="en-US" w:eastAsia="zh-CN"/>
        </w:rPr>
        <w:t>供应商：（盖公章）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9E4D78"/>
    <w:rsid w:val="16922F95"/>
    <w:rsid w:val="1F9077A5"/>
    <w:rsid w:val="1FE842E7"/>
    <w:rsid w:val="205234AE"/>
    <w:rsid w:val="20A00477"/>
    <w:rsid w:val="2D425124"/>
    <w:rsid w:val="3FF9428E"/>
    <w:rsid w:val="433854ED"/>
    <w:rsid w:val="5481728A"/>
    <w:rsid w:val="719E4D78"/>
    <w:rsid w:val="74597B71"/>
    <w:rsid w:val="787B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437</Words>
  <Characters>465</Characters>
  <Lines>0</Lines>
  <Paragraphs>0</Paragraphs>
  <TotalTime>6</TotalTime>
  <ScaleCrop>false</ScaleCrop>
  <LinksUpToDate>false</LinksUpToDate>
  <CharactersWithSpaces>467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2025-04-29T12:23:00Z</dcterms:created>
  <dc:creator>新昱</dc:creator>
  <cp:lastModifiedBy>新昱</cp:lastModifiedBy>
  <dcterms:modified xsi:type="dcterms:W3CDTF">2026-06-24T02:19:43Z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C3ADC536DBFD488A8860756415807C5C_13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