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版本号：CAZH-HZCG-202603020260818001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留坝县生活垃圾处理厂2026年综合监测运维服务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CAZH-HZCG-2026030</w:t>
      </w:r>
      <w:r>
        <w:br/>
      </w:r>
      <w:r>
        <w:br/>
      </w:r>
      <w:r>
        <w:br/>
      </w:r>
    </w:p>
    <w:p>
      <w:pPr>
        <w:pStyle w:val="null3"/>
        <w:jc w:val="center"/>
        <w:outlineLvl w:val="2"/>
      </w:pPr>
      <w:r>
        <w:rPr>
          <w:rFonts w:ascii="仿宋_GB2312" w:hAnsi="仿宋_GB2312" w:cs="仿宋_GB2312" w:eastAsia="仿宋_GB2312"/>
          <w:sz w:val="28"/>
          <w:b/>
        </w:rPr>
        <w:t>留坝县住房和城乡建设管理局</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留坝县住房和城乡建设管理局</w:t>
      </w:r>
      <w:r>
        <w:rPr>
          <w:rFonts w:ascii="仿宋_GB2312" w:hAnsi="仿宋_GB2312" w:cs="仿宋_GB2312" w:eastAsia="仿宋_GB2312"/>
        </w:rPr>
        <w:t>委托，拟对</w:t>
      </w:r>
      <w:r>
        <w:rPr>
          <w:rFonts w:ascii="仿宋_GB2312" w:hAnsi="仿宋_GB2312" w:cs="仿宋_GB2312" w:eastAsia="仿宋_GB2312"/>
        </w:rPr>
        <w:t>留坝县生活垃圾处理厂2026年综合监测运维服务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CAZH-HZCG-2026030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留坝县生活垃圾处理厂2026年综合监测运维服务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留坝县生活垃圾无害化处理厂排污许可证后管理规定，对留坝县生活垃圾无害化处理厂开展综合自行监测，比对监测、对本场无组织废气、有组织废气、废水、地下监测井、雨水、噪声、环境空气、固废、土壤等内容按照排污许可证要求频次进行手工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采购包1（留坝县生活垃圾处理厂2026年综合监测运维服务）：属于专门面向中小企业采购。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电⼦化交易系统中按要求上传相应证明⽂件并进⾏电⼦签章。：供应商应具有独立承担民事责任的能力的企业法人、事业法人、其他组织或者自然人,企业法人应提供合法有效的营业执照等证明文件；事业法人应提供事业单位法人证、组织机构代码证等证明文件（或统一社会信用代码的事业单位法人证）等合法有效的证明文件；其他组织应提供合法有效的证明文件；自然人提供身份证明文件；</w:t>
      </w:r>
    </w:p>
    <w:p>
      <w:pPr>
        <w:pStyle w:val="null3"/>
      </w:pPr>
      <w:r>
        <w:rPr>
          <w:rFonts w:ascii="仿宋_GB2312" w:hAnsi="仿宋_GB2312" w:cs="仿宋_GB2312" w:eastAsia="仿宋_GB2312"/>
        </w:rPr>
        <w:t>2、供应商需在项⽬电⼦化交易系统中按要求上传相应证明⽂件并进⾏电⼦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3、供应商需在项⽬电⼦化交易系统中按要求上传相应证明⽂件并进⾏电⼦签章。：供应商须具有国家或省级行业主管部门颁发的检验检测机构资质认定证书（ CMA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留坝县司法路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杜晓东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17709164076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汉台区红叶⼤酒店后院汉中航空⼯业（集团）有限公司办公⼤楼⼆楼210室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额向采购代理机构交纳成交服务费，交费⾦额参照国家计委颁布的《招标代理服务收费管理暂⾏办法》（计价格[2002]1980号）及发改办价格[2003]857号⽂件的规定标准收取；2、本项⽬代理服务费按服务类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留坝县住房和城乡建设管理局</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地址：汉台区红叶⼤酒店后院汉中航空⼯业（集团）有限公司办公⼤楼⼆楼210室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留坝县生活垃圾无害化处理厂排污许可证后管理规定，对留坝县生活垃圾无害化处理厂开展综合自行监测，比对监测、对本场无组织废气、有组织废气、废水、地下监测井、雨水、噪声、环境空气、固废、土壤等内容按照排污许可证要求频次进行手工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垃圾无害化处理厂综合监测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标的名称：垃圾无害化处理厂综合监测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根据留坝县生活垃圾无害化处理厂排污许可证后管理规定，对留坝县生活垃圾无害化处理厂开展综合自行监测，比对监测、对本场无组织废气、有组织废气、废水、地下监测井、雨水、噪声、环境空气、固废、土壤等内容按照排污许可证要求频次进行手工监测。</w:t>
            </w:r>
          </w:p>
          <w:p>
            <w:pPr>
              <w:pStyle w:val="null3"/>
            </w:pPr>
            <w:r>
              <w:rPr>
                <w:rFonts w:ascii="仿宋_GB2312" w:hAnsi="仿宋_GB2312" w:cs="仿宋_GB2312" w:eastAsia="仿宋_GB2312"/>
              </w:rPr>
              <w:t>二、监测内容明细如下：</w:t>
            </w:r>
          </w:p>
          <w:p>
            <w:pPr>
              <w:pStyle w:val="null3"/>
            </w:pPr>
            <w:r>
              <w:rPr>
                <w:rFonts w:ascii="仿宋_GB2312" w:hAnsi="仿宋_GB2312" w:cs="仿宋_GB2312" w:eastAsia="仿宋_GB2312"/>
              </w:rPr>
              <w:t>（1）无组织废气（监测参数：臭气浓度、氨（氨气）、硫化氢、颗粒物、甲烷、汞及其化合物镉，铊及其化合物（以Cd+Tl计）锑，砷，铅，铬，钴，铜，锰，镍及其化合物（以Sb+As+Pb+Cr+Co+Cu+Mn+Ni计）、二噁英）；</w:t>
            </w:r>
          </w:p>
          <w:p>
            <w:pPr>
              <w:pStyle w:val="null3"/>
            </w:pPr>
            <w:r>
              <w:rPr>
                <w:rFonts w:ascii="仿宋_GB2312" w:hAnsi="仿宋_GB2312" w:cs="仿宋_GB2312" w:eastAsia="仿宋_GB2312"/>
              </w:rPr>
              <w:t>（2）有组织废气（监测参数：臭气浓度、氨（氨气）、硫化氢）；</w:t>
            </w:r>
          </w:p>
          <w:p>
            <w:pPr>
              <w:pStyle w:val="null3"/>
            </w:pPr>
            <w:r>
              <w:rPr>
                <w:rFonts w:ascii="仿宋_GB2312" w:hAnsi="仿宋_GB2312" w:cs="仿宋_GB2312" w:eastAsia="仿宋_GB2312"/>
              </w:rPr>
              <w:t>（3）废水（监测参数：色度、悬浮物、五日生化需氧量、化学需氧量、氨氮、总氮、总磷、总汞、总镉、总铬、六价铬、总砷、总铅、粪大肠菌群数、pH、悬浮物、五日生化需氧量、化学需氧量、氨氮、总磷、石油类、动植物油）；</w:t>
            </w:r>
          </w:p>
          <w:p>
            <w:pPr>
              <w:pStyle w:val="null3"/>
            </w:pPr>
            <w:r>
              <w:rPr>
                <w:rFonts w:ascii="仿宋_GB2312" w:hAnsi="仿宋_GB2312" w:cs="仿宋_GB2312" w:eastAsia="仿宋_GB2312"/>
              </w:rPr>
              <w:t>（4）地下监测井（监测参数：pH值、溶解性总固体、总硬度、高锰酸盐指数、总大肠菌群、总汞、总镉、六价铬、总砷、总铅、总铜、总锌、总铁、总猛、氨氮（以N计）、亚硝酸盐、硝酸盐、氰化物、氯化物、酚类化合物、硫酸盐、氟化物）；</w:t>
            </w:r>
          </w:p>
          <w:p>
            <w:pPr>
              <w:pStyle w:val="null3"/>
            </w:pPr>
            <w:r>
              <w:rPr>
                <w:rFonts w:ascii="仿宋_GB2312" w:hAnsi="仿宋_GB2312" w:cs="仿宋_GB2312" w:eastAsia="仿宋_GB2312"/>
              </w:rPr>
              <w:t>（5）雨水（监测参数：悬浮物、化学需氧量、氨氮）；</w:t>
            </w:r>
          </w:p>
          <w:p>
            <w:pPr>
              <w:pStyle w:val="null3"/>
            </w:pPr>
            <w:r>
              <w:rPr>
                <w:rFonts w:ascii="仿宋_GB2312" w:hAnsi="仿宋_GB2312" w:cs="仿宋_GB2312" w:eastAsia="仿宋_GB2312"/>
              </w:rPr>
              <w:t>（6）噪声（监测参数：厂界四周噪声）；</w:t>
            </w:r>
          </w:p>
          <w:p>
            <w:pPr>
              <w:pStyle w:val="null3"/>
            </w:pPr>
            <w:r>
              <w:rPr>
                <w:rFonts w:ascii="仿宋_GB2312" w:hAnsi="仿宋_GB2312" w:cs="仿宋_GB2312" w:eastAsia="仿宋_GB2312"/>
              </w:rPr>
              <w:t>（7）环境空气（监测参数：TSP、NH3、H2S、臭气浓度、HCl、氟化物、Hg、Cd、Tl、Sb、As、Pb、Cr、Co、Cu、Mn、Ni、二噁英类）；</w:t>
            </w:r>
          </w:p>
          <w:p>
            <w:pPr>
              <w:pStyle w:val="null3"/>
            </w:pPr>
            <w:r>
              <w:rPr>
                <w:rFonts w:ascii="仿宋_GB2312" w:hAnsi="仿宋_GB2312" w:cs="仿宋_GB2312" w:eastAsia="仿宋_GB2312"/>
              </w:rPr>
              <w:t>（8）固废（监测参数：焚烧炉渣、热灼减率、含水率、二噁英、汞、铜、锌、铅、镉、铍、钡、镍、砷、总铬、六价铬、硒）；</w:t>
            </w:r>
          </w:p>
          <w:p>
            <w:pPr>
              <w:pStyle w:val="null3"/>
            </w:pPr>
            <w:r>
              <w:rPr>
                <w:rFonts w:ascii="仿宋_GB2312" w:hAnsi="仿宋_GB2312" w:cs="仿宋_GB2312" w:eastAsia="仿宋_GB2312"/>
              </w:rPr>
              <w:t>（9）土壤（监测参数：pH值、汞、镉、六价铬、砷、铅、镍、铜、锰、二噁英、钴、锑、铊、砷、镉、铜、铅、汞、镍）。</w:t>
            </w:r>
          </w:p>
          <w:p>
            <w:pPr>
              <w:pStyle w:val="null3"/>
            </w:pPr>
            <w:r>
              <w:rPr>
                <w:rFonts w:ascii="仿宋_GB2312" w:hAnsi="仿宋_GB2312" w:cs="仿宋_GB2312" w:eastAsia="仿宋_GB2312"/>
              </w:rPr>
              <w:t>三、</w:t>
            </w:r>
            <w:r>
              <w:rPr>
                <w:rFonts w:ascii="仿宋_GB2312" w:hAnsi="仿宋_GB2312" w:cs="仿宋_GB2312" w:eastAsia="仿宋_GB2312"/>
                <w:sz w:val="21"/>
                <w:color w:val="000000"/>
              </w:rPr>
              <w:t>服务期</w:t>
            </w:r>
          </w:p>
          <w:p>
            <w:pPr>
              <w:pStyle w:val="null3"/>
              <w:jc w:val="both"/>
            </w:pPr>
            <w:r>
              <w:rPr>
                <w:rFonts w:ascii="仿宋_GB2312" w:hAnsi="仿宋_GB2312" w:cs="仿宋_GB2312" w:eastAsia="仿宋_GB2312"/>
                <w:sz w:val="24"/>
              </w:rPr>
              <w:t>合同签订后</w:t>
            </w:r>
            <w:r>
              <w:rPr>
                <w:rFonts w:ascii="仿宋_GB2312" w:hAnsi="仿宋_GB2312" w:cs="仿宋_GB2312" w:eastAsia="仿宋_GB2312"/>
                <w:sz w:val="24"/>
              </w:rPr>
              <w:t>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进度款，期中达到监测要求后，达到付款条件起7个工作日内，支付合同总金额的50.0%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进度款，完成监测任务后，达到付款条件起7个工作日内，支付合同总金额的50.0%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合法有效的营业执照等证明文件；事业法人应提供事业单位法人证、组织机构代码证等证明文件（或统一社会信用代码的事业单位法人证）等合法有效的证明文件；其他组织应提供合法有效的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供应商须具有国家或省级行业主管部门颁发的检验检测机构资质认定证书（ CMA ）。</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签字盖章是否完整</w:t>
            </w:r>
          </w:p>
        </w:tc>
        <w:tc>
          <w:tcPr>
            <w:tcW w:type="dxa" w:w="3322"/>
          </w:tcPr>
          <w:p>
            <w:pPr>
              <w:pStyle w:val="null3"/>
            </w:pPr>
            <w:r>
              <w:rPr>
                <w:rFonts w:ascii="仿宋_GB2312" w:hAnsi="仿宋_GB2312" w:cs="仿宋_GB2312" w:eastAsia="仿宋_GB2312"/>
              </w:rPr>
              <w:t>供应商应对响应⽂件进⾏电⼦签章，并在规定地点签字。</w:t>
            </w:r>
          </w:p>
        </w:tc>
        <w:tc>
          <w:tcPr>
            <w:tcW w:type="dxa" w:w="1661"/>
          </w:tcPr>
          <w:p>
            <w:pPr>
              <w:pStyle w:val="null3"/>
            </w:pPr>
            <w:r>
              <w:rPr>
                <w:rFonts w:ascii="仿宋_GB2312" w:hAnsi="仿宋_GB2312" w:cs="仿宋_GB2312" w:eastAsia="仿宋_GB2312"/>
              </w:rPr>
              <w:t>响应文件封面 供应商应提交的相关资格证明材料.docx 类似项目业绩.docx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 2023 年 1 月 1 日至今完成的类似业绩证明，每提供一份计2.5 分，最高计 5.0 分；（以合同签订日期为准） 注：业绩须是供应商完成的类似项目，以成交通知书或协议书（合同）原件或加盖公章的复印件为准。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针对本项 目设备配备</w:t>
            </w:r>
          </w:p>
        </w:tc>
        <w:tc>
          <w:tcPr>
            <w:tcW w:type="dxa" w:w="2492"/>
          </w:tcPr>
          <w:p>
            <w:pPr>
              <w:pStyle w:val="null3"/>
            </w:pPr>
            <w:r>
              <w:rPr>
                <w:rFonts w:ascii="仿宋_GB2312" w:hAnsi="仿宋_GB2312" w:cs="仿宋_GB2312" w:eastAsia="仿宋_GB2312"/>
              </w:rPr>
              <w:t>1.提供监测相关设备清单得 2 分，不提供不得分。 2.提供监测相关设备证明材料（包括但不限于：规格型号、数量、租赁合同或购置发票等能证明设备归属的材料）、设备具有针对性、全面性得 9 分。提供监测相关设备清单（规格型号、数量）、设备具有针对性、全面性得 7 分。提供监测相关设备清单（规格型号、数量）、设备具有针对性得 5 分。提供监测相关设备清单（数量）、设备具有针对性得 3 分。 3.有设备维护保障措施得 2 分，不提供不得分。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服务人员履约能力</w:t>
            </w:r>
          </w:p>
        </w:tc>
        <w:tc>
          <w:tcPr>
            <w:tcW w:type="dxa" w:w="2492"/>
          </w:tcPr>
          <w:p>
            <w:pPr>
              <w:pStyle w:val="null3"/>
            </w:pPr>
            <w:r>
              <w:rPr>
                <w:rFonts w:ascii="仿宋_GB2312" w:hAnsi="仿宋_GB2312" w:cs="仿宋_GB2312" w:eastAsia="仿宋_GB2312"/>
              </w:rPr>
              <w:t>1.项目负责人具有环境类高级工程师及以上职称的得5分；具有环境类中级工程师的，得3分，其他情况不得分，最高得5分。 注：提供项目负责人职称证书、学历证、身份证等文件复印件加盖公章，未提供不得分。 2.参与本项目除项目负责团队以外的其他技术人员配备情况： 参与技术人员15人及以上得5-7分；参与技术人员10~14人得3-5分； 参与技术人员5~9人得0-3分；参与技术人员5人以下不得分。 需提供人员身份证、学历证、上岗证等相关资料。 3.提供人员到场及不随意更换人员承诺得 2 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1.供应商针对服务要求提供整个项目完成期限内服务质量承诺得2分，不提供不得分。 2.供应商提供人员到位情况及服务响应时间的承诺得3分，不提供不得分。 3.供应商提供监测结果真实、合法的承诺得3分，不提供不得分。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1.评审内容：（1）服务目标与理解；（2）服务实施步骤计划（服务工作流程）；（3）数据和信息安全保密措施；（4）工作重点与难点分析及对应措施。 2.评审标准：（1）全面性:内容完整、全面，包括所有评审内容，无遗漏；（2）详细性:内容详细,针对每一评审内容能够有明确具体的描述和说明；（3）合理性:内容合理,准确，符合项目实际情况，有利于项目的实施。 3.赋分标准：每一项评审内容满足每一项评审标准的得2分，最多得6分。每一项内容相对每一项评审标准存在一处漏洞或缺陷扣0.3-0.5分，6分扣完为止。未提供相关评审内容的，该项得0分。 说明：内容存在漏洞或缺陷是指出现下列任一种情形：（1）套用其他项目内容，非专门针对本项目或不适用项目特性；（2）内容表述不完整，或前后不一致，或存在逻辑或内容错误；（3）可行性或实用性不强；（4）其他不合理、不完善的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项目工作重点、难点及其解决措施情况</w:t>
            </w:r>
          </w:p>
        </w:tc>
        <w:tc>
          <w:tcPr>
            <w:tcW w:type="dxa" w:w="2492"/>
          </w:tcPr>
          <w:p>
            <w:pPr>
              <w:pStyle w:val="null3"/>
            </w:pPr>
            <w:r>
              <w:rPr>
                <w:rFonts w:ascii="仿宋_GB2312" w:hAnsi="仿宋_GB2312" w:cs="仿宋_GB2312" w:eastAsia="仿宋_GB2312"/>
              </w:rPr>
              <w:t>各供应商对本项目工作重点、难点及其解决措施情况： 1.供应商对本项目工作重点、难点分析恰当具体到位，并能提供出具体有效的解决措施的得6-8分。 2.供应商对本项目工作重点、难点分析具体并能提供出解决措施，但措施欠缺可行的得3-5分。 3.对本项目工作重点、难点及其解决措施分析不够恰当具体得1-2分。 注：没有提供得0分。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项目工作进度计划及服务保障措施</w:t>
            </w:r>
          </w:p>
        </w:tc>
        <w:tc>
          <w:tcPr>
            <w:tcW w:type="dxa" w:w="2492"/>
          </w:tcPr>
          <w:p>
            <w:pPr>
              <w:pStyle w:val="null3"/>
            </w:pPr>
            <w:r>
              <w:rPr>
                <w:rFonts w:ascii="仿宋_GB2312" w:hAnsi="仿宋_GB2312" w:cs="仿宋_GB2312" w:eastAsia="仿宋_GB2312"/>
              </w:rPr>
              <w:t>各供应商对本项目工作进度计划及服务保障措施： 1.供应商提供的工作进度计划合理、保障措施全面具体且有利于项目实施的得5-8分。 2.供应商提供的工作进度计划较合理、具有保障措施且对项目实施有一定积极作用的得2-5分。 3.供应商提供的工作进度计划合理性不高、保障措施程度不高的得0-2分。 注：没有提供得0分。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 3、不享有政策优惠条件的供应商报价得分=（评标基准价/投标报价）×20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