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版本号：ZX2026-05-22.1B120260617001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2026年全市网络安全保障服务项目(二次)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ZX2026-05-22.1B1</w:t>
      </w:r>
      <w:r>
        <w:br/>
      </w:r>
      <w:r>
        <w:br/>
      </w:r>
      <w:r>
        <w:br/>
      </w:r>
    </w:p>
    <w:p>
      <w:pPr>
        <w:pStyle w:val="null3"/>
        <w:jc w:val="center"/>
        <w:outlineLvl w:val="2"/>
      </w:pPr>
      <w:r>
        <w:rPr>
          <w:rFonts w:ascii="仿宋_GB2312" w:hAnsi="仿宋_GB2312" w:cs="仿宋_GB2312" w:eastAsia="仿宋_GB2312"/>
          <w:sz w:val="28"/>
          <w:b/>
        </w:rPr>
        <w:t>中共西安市委网络安全和信息化委员会办公室</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中共西安市委网络安全和信息化委员会办公室</w:t>
      </w:r>
      <w:r>
        <w:rPr>
          <w:rFonts w:ascii="仿宋_GB2312" w:hAnsi="仿宋_GB2312" w:cs="仿宋_GB2312" w:eastAsia="仿宋_GB2312"/>
        </w:rPr>
        <w:t>委托，拟对</w:t>
      </w:r>
      <w:r>
        <w:rPr>
          <w:rFonts w:ascii="仿宋_GB2312" w:hAnsi="仿宋_GB2312" w:cs="仿宋_GB2312" w:eastAsia="仿宋_GB2312"/>
        </w:rPr>
        <w:t>2026年全市网络安全保障服务项目(二次)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ZX2026-05-22.1B1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2026年全市网络安全保障服务项目(二次)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网络安全法》《数据安全法》等相关法律法规要求，提升全市网络安全保障水平，强化重要时期重点信息基础设施网络安全防护，防范网络安全风险，筑牢网络安全屏障，推动全市网信事业高质量发展，拟开展2026年全市网络安全保障服务采购工作。具体采购需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樊老师、徐老师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029-67092920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崔文 王宇轩 马演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采购包1：183,700.00元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代理服务费收费标准：每包服务费按照定额6000元收取，由成交供应商支付。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根据磋商文件、成交供应商响应文件和合同文本执行。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联系人：崔文、梁文龙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网络安全法》《数据安全法》等相关法律法规要求，提升全市网络安全保障水平，强化重要时期重点信息基础设施网络安全防护，防范网络安全风险，筑牢网络安全屏障，推动全市网信事业高质量发展，拟开展2026年全市网络安全保障服务采购工作。具体采购需求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183,700.00</w:t>
      </w:r>
    </w:p>
    <w:p>
      <w:pPr>
        <w:pStyle w:val="null3"/>
      </w:pPr>
      <w:r>
        <w:rPr>
          <w:rFonts w:ascii="仿宋_GB2312" w:hAnsi="仿宋_GB2312" w:cs="仿宋_GB2312" w:eastAsia="仿宋_GB2312"/>
        </w:rPr>
        <w:t>采购包最高限价（元）: 183,700.00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网络安全监测预警服务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183,700.00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标的名称：网络安全监测预警服务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在2026年7月1日-2027年6月30日期间提供以下服务：</w:t>
            </w:r>
          </w:p>
          <w:p>
            <w:pPr>
              <w:pStyle w:val="null3"/>
            </w:pPr>
            <w:r>
              <w:rPr>
                <w:rFonts w:ascii="仿宋_GB2312" w:hAnsi="仿宋_GB2312" w:cs="仿宋_GB2312" w:eastAsia="仿宋_GB2312"/>
              </w:rPr>
              <w:t>（1）市域范围全流量7*24小时网络监测。</w:t>
            </w:r>
          </w:p>
          <w:p>
            <w:pPr>
              <w:pStyle w:val="null3"/>
            </w:pPr>
            <w:r>
              <w:rPr>
                <w:rFonts w:ascii="仿宋_GB2312" w:hAnsi="仿宋_GB2312" w:cs="仿宋_GB2312" w:eastAsia="仿宋_GB2312"/>
              </w:rPr>
              <w:t>（2）提供网络安全威胁情报信息共享。</w:t>
            </w:r>
          </w:p>
          <w:p>
            <w:pPr>
              <w:pStyle w:val="null3"/>
            </w:pPr>
            <w:r>
              <w:rPr>
                <w:rFonts w:ascii="仿宋_GB2312" w:hAnsi="仿宋_GB2312" w:cs="仿宋_GB2312" w:eastAsia="仿宋_GB2312"/>
              </w:rPr>
              <w:t>（3）网络安全形势研判分析，提供月度、季度、年度网络安全形势分析研判报告。</w:t>
            </w:r>
          </w:p>
          <w:p>
            <w:pPr>
              <w:pStyle w:val="null3"/>
            </w:pPr>
            <w:r>
              <w:rPr>
                <w:rFonts w:ascii="仿宋_GB2312" w:hAnsi="仿宋_GB2312" w:cs="仿宋_GB2312" w:eastAsia="仿宋_GB2312"/>
              </w:rPr>
              <w:t>（4）网络安全事件调查取证。</w:t>
            </w:r>
          </w:p>
          <w:p>
            <w:pPr>
              <w:pStyle w:val="null3"/>
            </w:pPr>
            <w:r>
              <w:rPr>
                <w:rFonts w:ascii="仿宋_GB2312" w:hAnsi="仿宋_GB2312" w:cs="仿宋_GB2312" w:eastAsia="仿宋_GB2312"/>
              </w:rPr>
              <w:t>（5）数据安全和人工智能大模型备案咨询服务。</w:t>
            </w:r>
          </w:p>
          <w:p>
            <w:pPr>
              <w:pStyle w:val="null3"/>
            </w:pPr>
            <w:r>
              <w:rPr>
                <w:rFonts w:ascii="仿宋_GB2312" w:hAnsi="仿宋_GB2312" w:cs="仿宋_GB2312" w:eastAsia="仿宋_GB2312"/>
              </w:rPr>
              <w:t>（6）配合我办完成该项服务涉及的其他相关工作。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中共西安市委网络安全和信息化委员会办公室指定地点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（1）质量标准，符合国家行业相关标准。 （2）验收：根据磋商文件、成交供应商响应文件和合同文本执行。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进度款，合同签订完毕并收到供应商开具的等额合法有效的增值税正式发票之日起，达到付款条件起10个工作日内，支付合同总金额的50.0%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预算当年11月前进行事中监控，对绩效目标阶段性完成情况、成果等进行监控评估，出具阶段性评估结果，并收到供应商开具的等额合法有效的增值税正式发票之日起，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进度款，合同履约完成后，绩效目标已完成并出具验收报告，收到供应商开具的等金额合法有效的增值税正式发票之日起，达到付款条件起30个工作日内，支付合同总金额的30.0%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分支机构参与磋商的，响应文件中应附总公司出具的针对本项目的授权委托书。总公司只能授权一家分支机构参与磋商，且不能与分支机构同时参加本项目磋商。响应文件中凡是需要法定代表人签字盖章之处，分支机构参与投标的，由机构负责人进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3资格证明文件.docx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满足本磋商文件中3.3商务要求中服务期限、服务地点、支付约定要求的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 5服务响应偏离表.docx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网络监测方案</w:t>
            </w:r>
          </w:p>
        </w:tc>
        <w:tc>
          <w:tcPr>
            <w:tcW w:type="dxa" w:w="2492"/>
          </w:tcPr>
          <w:p>
            <w:pPr>
              <w:pStyle w:val="null3"/>
            </w:pPr>
            <w:r>
              <w:rPr>
                <w:rFonts w:ascii="仿宋_GB2312" w:hAnsi="仿宋_GB2312" w:cs="仿宋_GB2312" w:eastAsia="仿宋_GB2312"/>
              </w:rPr>
              <w:t>供应商提供针对本项目的网络监测方案，内容包括但不限于①项目背景和工作内容理解；②监测覆盖范围；③监测点位部署；④监测技术方法；⑤监测预警响应时效、准确率承诺及保障措施。 上述5项内容，每提供1项内容计3分，每项内容存在1处瑕疵扣0.5分；满分15分。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6网络监测方案.docx</w:t>
            </w:r>
          </w:p>
        </w:tc>
      </w:tr>
      <w:tr>
        <w:tc>
          <w:tcPr>
            <w:tcW w:type="dxa" w:w="831"/>
            <w:vMerge/>
          </w:tcPr>
          <w:p/>
        </w:tc>
        <w:tc>
          <w:tcPr>
            <w:tcW w:type="dxa" w:w="1661"/>
          </w:tcPr>
          <w:p>
            <w:pPr>
              <w:pStyle w:val="null3"/>
            </w:pPr>
            <w:r>
              <w:rPr>
                <w:rFonts w:ascii="仿宋_GB2312" w:hAnsi="仿宋_GB2312" w:cs="仿宋_GB2312" w:eastAsia="仿宋_GB2312"/>
              </w:rPr>
              <w:t>威胁情报信息共享方案</w:t>
            </w:r>
          </w:p>
        </w:tc>
        <w:tc>
          <w:tcPr>
            <w:tcW w:type="dxa" w:w="2492"/>
          </w:tcPr>
          <w:p>
            <w:pPr>
              <w:pStyle w:val="null3"/>
            </w:pPr>
            <w:r>
              <w:rPr>
                <w:rFonts w:ascii="仿宋_GB2312" w:hAnsi="仿宋_GB2312" w:cs="仿宋_GB2312" w:eastAsia="仿宋_GB2312"/>
              </w:rPr>
              <w:t>供应商提供针对本项服务的网络安全威胁情报信息共享方案，内容包括但不限于①情报类型及更新频率；②针对高危情报的紧急预警机制；③情报准确率承诺及保障措施。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7威胁情报信息共享方案.docx</w:t>
            </w:r>
          </w:p>
        </w:tc>
      </w:tr>
      <w:tr>
        <w:tc>
          <w:tcPr>
            <w:tcW w:type="dxa" w:w="831"/>
            <w:vMerge/>
          </w:tcPr>
          <w:p/>
        </w:tc>
        <w:tc>
          <w:tcPr>
            <w:tcW w:type="dxa" w:w="1661"/>
          </w:tcPr>
          <w:p>
            <w:pPr>
              <w:pStyle w:val="null3"/>
            </w:pPr>
            <w:r>
              <w:rPr>
                <w:rFonts w:ascii="仿宋_GB2312" w:hAnsi="仿宋_GB2312" w:cs="仿宋_GB2312" w:eastAsia="仿宋_GB2312"/>
              </w:rPr>
              <w:t>网络安全形势研判分析方案</w:t>
            </w:r>
          </w:p>
        </w:tc>
        <w:tc>
          <w:tcPr>
            <w:tcW w:type="dxa" w:w="2492"/>
          </w:tcPr>
          <w:p>
            <w:pPr>
              <w:pStyle w:val="null3"/>
            </w:pPr>
            <w:r>
              <w:rPr>
                <w:rFonts w:ascii="仿宋_GB2312" w:hAnsi="仿宋_GB2312" w:cs="仿宋_GB2312" w:eastAsia="仿宋_GB2312"/>
              </w:rPr>
              <w:t>供应商提供针对本项服务的网络安全形势研判分析方案，内容包括但不限于①研判分析服务内容；②研判分析技术方法及报告编制流程；③报告提交时效承诺及保障措施。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8网络安全形势研判分析方案.docx</w:t>
            </w:r>
          </w:p>
        </w:tc>
      </w:tr>
      <w:tr>
        <w:tc>
          <w:tcPr>
            <w:tcW w:type="dxa" w:w="831"/>
            <w:vMerge/>
          </w:tcPr>
          <w:p/>
        </w:tc>
        <w:tc>
          <w:tcPr>
            <w:tcW w:type="dxa" w:w="1661"/>
          </w:tcPr>
          <w:p>
            <w:pPr>
              <w:pStyle w:val="null3"/>
            </w:pPr>
            <w:r>
              <w:rPr>
                <w:rFonts w:ascii="仿宋_GB2312" w:hAnsi="仿宋_GB2312" w:cs="仿宋_GB2312" w:eastAsia="仿宋_GB2312"/>
              </w:rPr>
              <w:t>网络安全事件调查取证方案</w:t>
            </w:r>
          </w:p>
        </w:tc>
        <w:tc>
          <w:tcPr>
            <w:tcW w:type="dxa" w:w="2492"/>
          </w:tcPr>
          <w:p>
            <w:pPr>
              <w:pStyle w:val="null3"/>
            </w:pPr>
            <w:r>
              <w:rPr>
                <w:rFonts w:ascii="仿宋_GB2312" w:hAnsi="仿宋_GB2312" w:cs="仿宋_GB2312" w:eastAsia="仿宋_GB2312"/>
              </w:rPr>
              <w:t>供应商提供针对本项目的网络安全事件调查取证方案，内容包括但不限于①调查取证响应时效承诺；②取证流程；③取证方法与合规性保证。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9网络安全事件调查取证方案.docx</w:t>
            </w:r>
          </w:p>
        </w:tc>
      </w:tr>
      <w:tr>
        <w:tc>
          <w:tcPr>
            <w:tcW w:type="dxa" w:w="831"/>
            <w:vMerge/>
          </w:tcPr>
          <w:p/>
        </w:tc>
        <w:tc>
          <w:tcPr>
            <w:tcW w:type="dxa" w:w="1661"/>
          </w:tcPr>
          <w:p>
            <w:pPr>
              <w:pStyle w:val="null3"/>
            </w:pPr>
            <w:r>
              <w:rPr>
                <w:rFonts w:ascii="仿宋_GB2312" w:hAnsi="仿宋_GB2312" w:cs="仿宋_GB2312" w:eastAsia="仿宋_GB2312"/>
              </w:rPr>
              <w:t>备案咨询服务方案</w:t>
            </w:r>
          </w:p>
        </w:tc>
        <w:tc>
          <w:tcPr>
            <w:tcW w:type="dxa" w:w="2492"/>
          </w:tcPr>
          <w:p>
            <w:pPr>
              <w:pStyle w:val="null3"/>
            </w:pPr>
            <w:r>
              <w:rPr>
                <w:rFonts w:ascii="仿宋_GB2312" w:hAnsi="仿宋_GB2312" w:cs="仿宋_GB2312" w:eastAsia="仿宋_GB2312"/>
              </w:rPr>
              <w:t>供应商提供针对本项目的数据安全和人工智能大模型备案咨询服务方案，内容包括但不限于①明确服务范围与内容；②服务流程安排；③服务标准及保障措施。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10备案咨询服务方案.docx</w:t>
            </w:r>
          </w:p>
        </w:tc>
      </w:tr>
      <w:tr>
        <w:tc>
          <w:tcPr>
            <w:tcW w:type="dxa" w:w="831"/>
            <w:vMerge/>
          </w:tcPr>
          <w:p/>
        </w:tc>
        <w:tc>
          <w:tcPr>
            <w:tcW w:type="dxa" w:w="1661"/>
          </w:tcPr>
          <w:p>
            <w:pPr>
              <w:pStyle w:val="null3"/>
            </w:pPr>
            <w:r>
              <w:rPr>
                <w:rFonts w:ascii="仿宋_GB2312" w:hAnsi="仿宋_GB2312" w:cs="仿宋_GB2312" w:eastAsia="仿宋_GB2312"/>
              </w:rPr>
              <w:t>为采购人提供的各项后续服务方案</w:t>
            </w:r>
          </w:p>
        </w:tc>
        <w:tc>
          <w:tcPr>
            <w:tcW w:type="dxa" w:w="2492"/>
          </w:tcPr>
          <w:p>
            <w:pPr>
              <w:pStyle w:val="null3"/>
            </w:pPr>
            <w:r>
              <w:rPr>
                <w:rFonts w:ascii="仿宋_GB2312" w:hAnsi="仿宋_GB2312" w:cs="仿宋_GB2312" w:eastAsia="仿宋_GB2312"/>
              </w:rPr>
              <w:t>供应商提供针对本项目的后续服务方案，内容包括①所有事项闭环处理与跟踪回访；②全天候安全咨询与答疑。 上述2项内容，每提供1项内容计2分，满分4分。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11为采购人提供的各项后续服务方案.docx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供应商提供针对本项目的保密方案，内容包括①服务过程中接触的各种数据、信息的保密措施；②项目人员现场管理、行为规范及防止违规操作的应对措施；③明确泄密责任。 上述3项内容，每提供1项内容计2分，满分6分。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12保密方案.docx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供应商提供针对本项目的服务保障方案，内容包括①应急响应机制与时效②用户问题反馈渠道及流程③服务问题整改机制。 上述3项内容，每提供1项内容计2分，满分6分。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13服务保障方案.docx</w:t>
            </w:r>
          </w:p>
        </w:tc>
      </w:tr>
      <w:tr>
        <w:tc>
          <w:tcPr>
            <w:tcW w:type="dxa" w:w="831"/>
            <w:vMerge/>
          </w:tcPr>
          <w:p/>
        </w:tc>
        <w:tc>
          <w:tcPr>
            <w:tcW w:type="dxa" w:w="1661"/>
          </w:tcPr>
          <w:p>
            <w:pPr>
              <w:pStyle w:val="null3"/>
            </w:pPr>
            <w:r>
              <w:rPr>
                <w:rFonts w:ascii="仿宋_GB2312" w:hAnsi="仿宋_GB2312" w:cs="仿宋_GB2312" w:eastAsia="仿宋_GB2312"/>
              </w:rPr>
              <w:t>监测及处置能力</w:t>
            </w:r>
          </w:p>
        </w:tc>
        <w:tc>
          <w:tcPr>
            <w:tcW w:type="dxa" w:w="2492"/>
          </w:tcPr>
          <w:p>
            <w:pPr>
              <w:pStyle w:val="null3"/>
            </w:pPr>
            <w:r>
              <w:rPr>
                <w:rFonts w:ascii="仿宋_GB2312" w:hAnsi="仿宋_GB2312" w:cs="仿宋_GB2312" w:eastAsia="仿宋_GB2312"/>
              </w:rPr>
              <w:t>①供应商须为相关部门认定的网络安全应急支撑单位或自身为网络安全应急支撑单位，提供证明材料。 ②供应商提供自有威胁监测平台或系统，且平台或系统能够覆盖全市的证明材料。 ③提供对市级重点防护对象流量异常监测能力的证明材料。 上述3项内容，每满足1项内容计3分，满分9分。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14监测及处置能力.docx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供应商提供针对本项目的拟派项目负责人信息，作为本项目的固定联络人员。须提供拟派项目负责人劳动合同或2026年以来任意一个月的本单位的社保缴纳证明，否则本评分项不予计分。 ①项目负责人应有3年及以上工作经验，提供项目负责人工作履历表予以佐证。 ②项目负责人具备相关专业副高级以上职称或CISP相关证书。提供证书予以佐证。 上述2项内容，每满足1项内容计2分，满分4分。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15项目负责人.docx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供应商提供针对本项目的项目组织实施团队配置（除项目负责人），内容包括①团队组织架构②人员配备计划及职责划分。 上述2项内容，每提供1项内容计1分，满分2分。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16项目团队配置.docx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项目组成员（不包含项目负责人）需具有相关专业中级及以上技术职称或具备CISSP、CISAW、CISP相关证书、等保测评师、信息安全管理工程师的相关证书。 须提供①人员相关证书、②劳动合同或2026年以来任意一个月的本单位的社保缴纳证明。 每符合一人得1分，最高得3分。（同一人员不重复计分）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17项目团队.docx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提供供应商2023年1月至投标截止日同类项目业绩（时间以合同签订时间为准），每提供一份有效业绩得2分，最高得10分。 备注：①响应文件中附合同扫描件并加盖公章。②每份业绩须提供合同扫描件（扫描件必须清晰体现签约主体和日期、项目名称及内容等核心要素）及项目款项发票，否则不计为有效业绩。③同一采购单位提供多份业绩的，只按一份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18业绩.docx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供应商提供有利于本项目实施的其他服务承诺及合理化建议，每提供1个经磋商小组一致认定的服务承诺或合理化建议计1分，本项最多得2分。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19服务承诺及合理化建议.docx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详见附件：6网络监测方案.docx</w:t>
      </w:r>
    </w:p>
    <w:p>
      <w:pPr>
        <w:pStyle w:val="null3"/>
        <w:ind w:firstLine="960"/>
      </w:pPr>
      <w:r>
        <w:rPr>
          <w:rFonts w:ascii="仿宋_GB2312" w:hAnsi="仿宋_GB2312" w:cs="仿宋_GB2312" w:eastAsia="仿宋_GB2312"/>
        </w:rPr>
        <w:t>详见附件：7威胁情报信息共享方案.docx</w:t>
      </w:r>
    </w:p>
    <w:p>
      <w:pPr>
        <w:pStyle w:val="null3"/>
        <w:ind w:firstLine="960"/>
      </w:pPr>
      <w:r>
        <w:rPr>
          <w:rFonts w:ascii="仿宋_GB2312" w:hAnsi="仿宋_GB2312" w:cs="仿宋_GB2312" w:eastAsia="仿宋_GB2312"/>
        </w:rPr>
        <w:t>详见附件：8网络安全形势研判分析方案.docx</w:t>
      </w:r>
    </w:p>
    <w:p>
      <w:pPr>
        <w:pStyle w:val="null3"/>
        <w:ind w:firstLine="960"/>
      </w:pPr>
      <w:r>
        <w:rPr>
          <w:rFonts w:ascii="仿宋_GB2312" w:hAnsi="仿宋_GB2312" w:cs="仿宋_GB2312" w:eastAsia="仿宋_GB2312"/>
        </w:rPr>
        <w:t>详见附件：9网络安全事件调查取证方案.docx</w:t>
      </w:r>
    </w:p>
    <w:p>
      <w:pPr>
        <w:pStyle w:val="null3"/>
        <w:ind w:firstLine="960"/>
      </w:pPr>
      <w:r>
        <w:rPr>
          <w:rFonts w:ascii="仿宋_GB2312" w:hAnsi="仿宋_GB2312" w:cs="仿宋_GB2312" w:eastAsia="仿宋_GB2312"/>
        </w:rPr>
        <w:t>详见附件：10备案咨询服务方案.docx</w:t>
      </w:r>
    </w:p>
    <w:p>
      <w:pPr>
        <w:pStyle w:val="null3"/>
        <w:ind w:firstLine="960"/>
      </w:pPr>
      <w:r>
        <w:rPr>
          <w:rFonts w:ascii="仿宋_GB2312" w:hAnsi="仿宋_GB2312" w:cs="仿宋_GB2312" w:eastAsia="仿宋_GB2312"/>
        </w:rPr>
        <w:t>详见附件：11为采购人提供的各项后续服务方案.docx</w:t>
      </w:r>
    </w:p>
    <w:p>
      <w:pPr>
        <w:pStyle w:val="null3"/>
        <w:ind w:firstLine="960"/>
      </w:pPr>
      <w:r>
        <w:rPr>
          <w:rFonts w:ascii="仿宋_GB2312" w:hAnsi="仿宋_GB2312" w:cs="仿宋_GB2312" w:eastAsia="仿宋_GB2312"/>
        </w:rPr>
        <w:t>详见附件：12保密方案.docx</w:t>
      </w:r>
    </w:p>
    <w:p>
      <w:pPr>
        <w:pStyle w:val="null3"/>
        <w:ind w:firstLine="960"/>
      </w:pPr>
      <w:r>
        <w:rPr>
          <w:rFonts w:ascii="仿宋_GB2312" w:hAnsi="仿宋_GB2312" w:cs="仿宋_GB2312" w:eastAsia="仿宋_GB2312"/>
        </w:rPr>
        <w:t>详见附件：13服务保障方案.docx</w:t>
      </w:r>
    </w:p>
    <w:p>
      <w:pPr>
        <w:pStyle w:val="null3"/>
        <w:ind w:firstLine="960"/>
      </w:pPr>
      <w:r>
        <w:rPr>
          <w:rFonts w:ascii="仿宋_GB2312" w:hAnsi="仿宋_GB2312" w:cs="仿宋_GB2312" w:eastAsia="仿宋_GB2312"/>
        </w:rPr>
        <w:t>详见附件：14监测及处置能力.docx</w:t>
      </w:r>
    </w:p>
    <w:p>
      <w:pPr>
        <w:pStyle w:val="null3"/>
        <w:ind w:firstLine="960"/>
      </w:pPr>
      <w:r>
        <w:rPr>
          <w:rFonts w:ascii="仿宋_GB2312" w:hAnsi="仿宋_GB2312" w:cs="仿宋_GB2312" w:eastAsia="仿宋_GB2312"/>
        </w:rPr>
        <w:t>详见附件：15项目负责人.docx</w:t>
      </w:r>
    </w:p>
    <w:p>
      <w:pPr>
        <w:pStyle w:val="null3"/>
        <w:ind w:firstLine="960"/>
      </w:pPr>
      <w:r>
        <w:rPr>
          <w:rFonts w:ascii="仿宋_GB2312" w:hAnsi="仿宋_GB2312" w:cs="仿宋_GB2312" w:eastAsia="仿宋_GB2312"/>
        </w:rPr>
        <w:t>详见附件：16项目团队配置.docx</w:t>
      </w:r>
    </w:p>
    <w:p>
      <w:pPr>
        <w:pStyle w:val="null3"/>
        <w:ind w:firstLine="960"/>
      </w:pPr>
      <w:r>
        <w:rPr>
          <w:rFonts w:ascii="仿宋_GB2312" w:hAnsi="仿宋_GB2312" w:cs="仿宋_GB2312" w:eastAsia="仿宋_GB2312"/>
        </w:rPr>
        <w:t>详见附件：17项目团队.docx</w:t>
      </w:r>
    </w:p>
    <w:p>
      <w:pPr>
        <w:pStyle w:val="null3"/>
        <w:ind w:firstLine="960"/>
      </w:pPr>
      <w:r>
        <w:rPr>
          <w:rFonts w:ascii="仿宋_GB2312" w:hAnsi="仿宋_GB2312" w:cs="仿宋_GB2312" w:eastAsia="仿宋_GB2312"/>
        </w:rPr>
        <w:t>详见附件：18业绩.docx</w:t>
      </w:r>
    </w:p>
    <w:p>
      <w:pPr>
        <w:pStyle w:val="null3"/>
        <w:ind w:firstLine="960"/>
      </w:pPr>
      <w:r>
        <w:rPr>
          <w:rFonts w:ascii="仿宋_GB2312" w:hAnsi="仿宋_GB2312" w:cs="仿宋_GB2312" w:eastAsia="仿宋_GB2312"/>
        </w:rPr>
        <w:t>详见附件：19服务承诺及合理化建议.docx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