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27A6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iCs w:val="0"/>
          <w:caps w:val="0"/>
          <w:color w:val="333333"/>
          <w:spacing w:val="0"/>
          <w:sz w:val="36"/>
          <w:szCs w:val="36"/>
        </w:rPr>
      </w:pPr>
      <w:r>
        <w:rPr>
          <w:rStyle w:val="5"/>
          <w:rFonts w:hint="eastAsia" w:ascii="宋体" w:hAnsi="宋体" w:eastAsia="宋体" w:cs="宋体"/>
          <w:i w:val="0"/>
          <w:iCs w:val="0"/>
          <w:caps w:val="0"/>
          <w:color w:val="333333"/>
          <w:spacing w:val="0"/>
          <w:sz w:val="36"/>
          <w:szCs w:val="36"/>
          <w:bdr w:val="none" w:color="auto" w:sz="0" w:space="0"/>
          <w:shd w:val="clear" w:fill="FFFFFF"/>
        </w:rPr>
        <w:t>中国境内生产的组件成本核算基本规则</w:t>
      </w:r>
    </w:p>
    <w:p w14:paraId="2837E6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p>
    <w:p w14:paraId="41F682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48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629087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48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一、产品的一级组件是指直接组成产品的组件。产品的二级组件是指直接组成产品一级组件的组件。一级组件不可分解的，视同二级组件。</w:t>
      </w:r>
    </w:p>
    <w:p w14:paraId="01DF7A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48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二、二级组件在中国境内生产的，其全部成本计入中国境内生产的组件成本；二级组件不在中国境内生产的，其成本不计入中国境内生产的组件成本。</w:t>
      </w:r>
    </w:p>
    <w:p w14:paraId="703415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48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三、产品总成本和组件成本以相关会计核算数据、采购合同、进货记录等为基础进行计算。</w:t>
      </w:r>
    </w:p>
    <w:p w14:paraId="4F6D97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48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四、需要对成本核算规则予以进一步明确的其他有关事项，由财政部会同有关部门另行规定。</w:t>
      </w:r>
    </w:p>
    <w:p w14:paraId="3246368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B95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2026-07-03T07:57:42Z</dcterms:created>
  <dc:creator>Administrator</dc:creator>
  <cp:lastModifiedBy>毛毛麻麻^_^跨境代购</cp:lastModifiedBy>
  <dcterms:modified xsi:type="dcterms:W3CDTF">2026-07-03T07:58:13Z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eyJoZGlkIjoiNTI4NWY5Y2QzMTA2MWY4N2ZmNWU2ZTM2Y2UyMDAwZWEiLCJ1c2VySWQiOiI0MzA1Mjg1NTQifQ==</vt:lpwstr>
  </property>
  <property fmtid="{D5CDD505-2E9C-101B-9397-08002B2CF9AE}" pid="4" name="ICV">
    <vt:lpwstr>002354828A1C4B2EB7CD1BA46985E138_12</vt:lpwstr>
  </property>
</Properties>
</file>