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版本号：KY2026-1-61220260629001</w:t>
      </w:r>
      <w:r>
        <w:br/>
      </w:r>
      <w:r>
        <w:br/>
      </w:r>
      <w:r>
        <w:br/>
      </w:r>
      <w:r>
        <w:br/>
      </w:r>
      <w:r>
        <w:br/>
      </w:r>
    </w:p>
    <w:p>
      <w:pPr>
        <w:pStyle w:val="null3"/>
        <w:jc w:val="center"/>
        <w:outlineLvl w:val="0"/>
      </w:pPr>
      <w:r>
        <w:rPr>
          <w:rFonts w:ascii="仿宋_GB2312" w:hAnsi="仿宋_GB2312" w:cs="仿宋_GB2312" w:eastAsia="仿宋_GB2312"/>
          <w:sz w:val="48"/>
          <w:b/>
        </w:rPr>
        <w:t>谈 判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空间运动多功能臂基础应用实践平台采购项目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KY2026-1-612</w:t>
      </w:r>
      <w:r>
        <w:br/>
      </w:r>
      <w:r>
        <w:br/>
      </w:r>
      <w:r>
        <w:br/>
      </w:r>
    </w:p>
    <w:p>
      <w:pPr>
        <w:pStyle w:val="null3"/>
        <w:jc w:val="center"/>
        <w:outlineLvl w:val="2"/>
      </w:pPr>
      <w:r>
        <w:rPr>
          <w:rFonts w:ascii="仿宋_GB2312" w:hAnsi="仿宋_GB2312" w:cs="仿宋_GB2312" w:eastAsia="仿宋_GB2312"/>
          <w:sz w:val="28"/>
          <w:b/>
        </w:rPr>
        <w:t>西安建筑科技大学</w:t>
      </w:r>
    </w:p>
    <w:p>
      <w:pPr>
        <w:pStyle w:val="null3"/>
        <w:jc w:val="center"/>
        <w:outlineLvl w:val="2"/>
      </w:pPr>
      <w:r>
        <w:rPr>
          <w:rFonts w:ascii="仿宋_GB2312" w:hAnsi="仿宋_GB2312" w:cs="仿宋_GB2312" w:eastAsia="仿宋_GB2312"/>
          <w:sz w:val="28"/>
          <w:b/>
        </w:rPr>
        <w:t>陕西开源招标有限公司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2026年06月29日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pPr>
      <w:r>
        <w:rPr>
          <w:rFonts w:ascii="仿宋_GB2312" w:hAnsi="仿宋_GB2312" w:cs="仿宋_GB2312" w:eastAsia="仿宋_GB2312"/>
        </w:rPr>
        <w:t>陕西开源招标有限公司</w:t>
      </w:r>
      <w:r>
        <w:rPr>
          <w:rFonts w:ascii="仿宋_GB2312" w:hAnsi="仿宋_GB2312" w:cs="仿宋_GB2312" w:eastAsia="仿宋_GB2312"/>
        </w:rPr>
        <w:t>（以下简称“代理机构”）受</w:t>
      </w:r>
      <w:r>
        <w:rPr>
          <w:rFonts w:ascii="仿宋_GB2312" w:hAnsi="仿宋_GB2312" w:cs="仿宋_GB2312" w:eastAsia="仿宋_GB2312"/>
        </w:rPr>
        <w:t>西安建筑科技大学</w:t>
      </w:r>
      <w:r>
        <w:rPr>
          <w:rFonts w:ascii="仿宋_GB2312" w:hAnsi="仿宋_GB2312" w:cs="仿宋_GB2312" w:eastAsia="仿宋_GB2312"/>
        </w:rPr>
        <w:t>委托，拟对</w:t>
      </w:r>
      <w:r>
        <w:rPr>
          <w:rFonts w:ascii="仿宋_GB2312" w:hAnsi="仿宋_GB2312" w:cs="仿宋_GB2312" w:eastAsia="仿宋_GB2312"/>
        </w:rPr>
        <w:t>空间运动多功能臂基础应用实践平台采购项目</w:t>
      </w:r>
      <w:r>
        <w:rPr>
          <w:rFonts w:ascii="仿宋_GB2312" w:hAnsi="仿宋_GB2312" w:cs="仿宋_GB2312" w:eastAsia="仿宋_GB2312"/>
        </w:rPr>
        <w:t>采用竞争性谈判采购方式进行采购，兹邀请供应商参加本项目的竞争性谈判。</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KY2026-1-612</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空间运动多功能臂基础应用实践平台采购项目</w:t>
      </w:r>
    </w:p>
    <w:p>
      <w:pPr>
        <w:pStyle w:val="null3"/>
        <w:outlineLvl w:val="2"/>
      </w:pPr>
      <w:r>
        <w:rPr>
          <w:rFonts w:ascii="仿宋_GB2312" w:hAnsi="仿宋_GB2312" w:cs="仿宋_GB2312" w:eastAsia="仿宋_GB2312"/>
          <w:sz w:val="28"/>
          <w:b/>
        </w:rPr>
        <w:t>三、谈判项目简介：</w:t>
      </w:r>
    </w:p>
    <w:p>
      <w:pPr>
        <w:pStyle w:val="null3"/>
        <w:ind w:firstLine="480"/>
      </w:pPr>
      <w:r>
        <w:rPr>
          <w:rFonts w:ascii="仿宋_GB2312" w:hAnsi="仿宋_GB2312" w:cs="仿宋_GB2312" w:eastAsia="仿宋_GB2312"/>
        </w:rPr>
        <w:t>具体采购内容详见技术参数与性能指标。</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本次采购采取公告征集邀请谈判的供应商。</w:t>
      </w:r>
    </w:p>
    <w:p>
      <w:pPr>
        <w:pStyle w:val="null3"/>
      </w:pPr>
      <w:r>
        <w:rPr>
          <w:rFonts w:ascii="仿宋_GB2312" w:hAnsi="仿宋_GB2312" w:cs="仿宋_GB2312" w:eastAsia="仿宋_GB2312"/>
        </w:rPr>
        <w:t xml:space="preserve"> 公告征集：本次竞争性谈判邀请在“陕西省政府采购网（www.ccgp-shaanxi.gov.cn）”上以公告形式发布，兹邀请符合本次采购要求的供应商参加本项目的竞争性谈判。</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采购包1（空间运动多功能臂基础应用实践平台）：属于专门面向中小企业采购。</w:t>
      </w:r>
    </w:p>
    <w:p>
      <w:pPr>
        <w:pStyle w:val="null3"/>
        <w:ind w:firstLine="440"/>
        <w:jc w:val="left"/>
      </w:pPr>
      <w:r>
        <w:rPr>
          <w:rFonts w:ascii="仿宋_GB2312" w:hAnsi="仿宋_GB2312" w:cs="仿宋_GB2312" w:eastAsia="仿宋_GB2312"/>
          <w:sz w:val="22"/>
        </w:rPr>
        <w:t>注：监狱企业和残疾人福利性单位视同小微企业，符合中小企业划分标准的个体工商户视同中小企业。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1、法定代表人授权书：法定代表人授权书及被授权人身份证明。（法定代表人直接谈判只须提供其身份证明）。</w:t>
      </w:r>
    </w:p>
    <w:p>
      <w:pPr>
        <w:pStyle w:val="null3"/>
      </w:pPr>
      <w:r>
        <w:rPr>
          <w:rFonts w:ascii="仿宋_GB2312" w:hAnsi="仿宋_GB2312" w:cs="仿宋_GB2312" w:eastAsia="仿宋_GB2312"/>
        </w:rPr>
        <w:t>2、声明函：本项目专门面向中小企业采购，响应产品的制造商应为中型企业或小型、微型企业或监狱企业或残疾人福利性单位，供应商须提供声明函。</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七、竞争性谈判文件获取时间、方式及地址</w:t>
      </w:r>
    </w:p>
    <w:p>
      <w:pPr>
        <w:pStyle w:val="null3"/>
        <w:ind w:firstLine="480"/>
      </w:pPr>
      <w:r>
        <w:rPr>
          <w:rFonts w:ascii="仿宋_GB2312" w:hAnsi="仿宋_GB2312" w:cs="仿宋_GB2312" w:eastAsia="仿宋_GB2312"/>
        </w:rPr>
        <w:t>（一）谈判文件获取时间：详见采购公告或邀请书</w:t>
      </w:r>
    </w:p>
    <w:p>
      <w:pPr>
        <w:pStyle w:val="null3"/>
        <w:ind w:firstLine="480"/>
      </w:pPr>
      <w:r>
        <w:rPr>
          <w:rFonts w:ascii="仿宋_GB2312" w:hAnsi="仿宋_GB2312" w:cs="仿宋_GB2312" w:eastAsia="仿宋_GB2312"/>
        </w:rPr>
        <w:t xml:space="preserve"> （二）在谈判文件获取开始时间前，采购人或代理机构将本项目谈判文件上传至项目电子化交易系统，向供应商提供。供应商通过项目电子化交易系统获取谈判文件。成功获取谈判文件的，供应商将收到已获取谈判文件的回执函。未成功获取谈判文件的供应商，不得参与本次采购活动，不得对谈判文件提起质疑。</w:t>
      </w:r>
    </w:p>
    <w:p>
      <w:pPr>
        <w:pStyle w:val="null3"/>
        <w:ind w:firstLine="480"/>
      </w:pPr>
      <w:r>
        <w:rPr>
          <w:rFonts w:ascii="仿宋_GB2312" w:hAnsi="仿宋_GB2312" w:cs="仿宋_GB2312" w:eastAsia="仿宋_GB2312"/>
        </w:rPr>
        <w:t xml:space="preserve"> 成功获取谈判文件后，采购人或代理机构进行澄清或者修改的，澄清或者修改的内容可能影响响应文件编制的，采购人或代理机构将通过项目电子化交易系统发布澄清或者修改后的谈判文件，供应商应当重新获取谈判文件；澄清或者修改后的谈判文件发布日期距提交响应文件截止日期不足3个工作日的，采购人或代理机构顺延提交响应文件的截止时间。供应商未重新获取谈判文件或者未按照澄清或者修改后的谈判文件编制响应文件进行响应的，自行承担不利后果。</w:t>
      </w:r>
    </w:p>
    <w:p>
      <w:pPr>
        <w:pStyle w:val="null3"/>
        <w:jc w:val="left"/>
      </w:pPr>
      <w:r>
        <w:rPr>
          <w:rFonts w:ascii="仿宋_GB2312" w:hAnsi="仿宋_GB2312" w:cs="仿宋_GB2312" w:eastAsia="仿宋_GB2312"/>
        </w:rPr>
        <w:t>注：获取的谈判文件主体格式包括pdf、word两种格式版本，其中以pdf格式为准。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九、谈判方式</w:t>
      </w:r>
    </w:p>
    <w:p>
      <w:pPr>
        <w:pStyle w:val="null3"/>
        <w:ind w:firstLine="480"/>
      </w:pPr>
      <w:r>
        <w:rPr>
          <w:rFonts w:ascii="仿宋_GB2312" w:hAnsi="仿宋_GB2312" w:cs="仿宋_GB2312" w:eastAsia="仿宋_GB2312"/>
        </w:rPr>
        <w:t xml:space="preserve"> 本项目谈判小组与供应商通过项目电子化交易系统以在线方式进行谈判。谈判会议由谈判小组在线主持，供应商代表在线参加。供应商应随时关注项目电子化交易系统信息，及时参与在线谈判。供应商登录项目电子化交易系统，与谈判小组进行在线谈判、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西安建筑科技大学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西安市雁塔路中段13号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710055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李成龙</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029-82201427</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陕西开源招标有限公司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西安市雁展路1111号莱安中心T6-15层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汪涛、刘金柯、卢韶华</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029-81206622-821</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采购包1：1,520,000.00元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最低评标价法(详见第六章)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如以联合体响应的，联合体各方均应当具备本谈判文件要求的资格条件和能力。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如有</w:t>
            </w:r>
            <w:r>
              <w:rPr>
                <w:rFonts w:ascii="仿宋_GB2312" w:hAnsi="仿宋_GB2312" w:cs="仿宋_GB2312" w:eastAsia="仿宋_GB2312"/>
              </w:rPr>
              <w:t>产品属于环境标志产品政府采购品目清单中应优先采购的产品范围，响应报价相同的，按供应商提供的优先采购产品认证证书数量由多到少顺序排列。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的不同供应商参加同一合同项下采购活动的，以其中通过资格审查、符合性审查且报价最低的参加评审；报价相同的，由采购人或者采购人委托谈判小组按照随机抽取方式确定一个参加谈判的供应商，其他响应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和相关证明材料，应当加盖供应商公章，在谈判小组要求的时间内通过项目电子化交易系统进行提交，否则提交的相关材料无效，视为不能证明其响应报价合理性。供应商不能证明其响应报价合理性的，谈判小组应当将其响应文件作为无效处理。</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谈判保证金</w:t>
            </w:r>
          </w:p>
        </w:tc>
        <w:tc>
          <w:tcPr>
            <w:tcW w:type="dxa" w:w="5004"/>
          </w:tcPr>
          <w:p>
            <w:pPr>
              <w:pStyle w:val="null3"/>
            </w:pPr>
            <w:r>
              <w:rPr>
                <w:rFonts w:ascii="仿宋_GB2312" w:hAnsi="仿宋_GB2312" w:cs="仿宋_GB2312" w:eastAsia="仿宋_GB2312"/>
              </w:rPr>
              <w:t>采购包1保证金金额：20,000.00元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开户名称：陕西开源招标有限公司</w:t>
            </w:r>
          </w:p>
          <w:p>
            <w:pPr>
              <w:pStyle w:val="null3"/>
            </w:pPr>
            <w:r>
              <w:rPr>
                <w:rFonts w:ascii="仿宋_GB2312" w:hAnsi="仿宋_GB2312" w:cs="仿宋_GB2312" w:eastAsia="仿宋_GB2312"/>
              </w:rPr>
              <w:t>开户银行：交通银行西安甜水井街支行</w:t>
            </w:r>
          </w:p>
          <w:p>
            <w:pPr>
              <w:pStyle w:val="null3"/>
            </w:pPr>
            <w:r>
              <w:rPr>
                <w:rFonts w:ascii="仿宋_GB2312" w:hAnsi="仿宋_GB2312" w:cs="仿宋_GB2312" w:eastAsia="仿宋_GB2312"/>
              </w:rPr>
              <w:t>银行账号：86113010750181502001365</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说明：供应商成交后凭成交通知书向学校缴纳成交金额的5%作为履约保证金，待合同履约完毕后无息退还。</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代理服务费收费标准：成交供应商应依据中标金额向采购代理机构交纳中标服务费，交费金额以国家计委颁布的《招标代理服务收费管理暂行办法》(计价格[2002]1980号)文件为依据计代理服务费，按照以下要求计： 1、项目金额在100万元及以下的，按中标金额全额计取； 2、项目金额超过100万元的，100万元及以下部分全额计取，超出部分按75%计取。 3、本项目代理服务费按货物计取。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本谈判文件所称的“以上”、“以下”、“内”、“以内”、“不少于”包括本数；所称的“不足”、“低于”、“超过”不包括本数。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一、本竞争性谈判文件仅适用于本次竞争性谈判采购项目。</w:t>
      </w:r>
    </w:p>
    <w:p>
      <w:pPr>
        <w:pStyle w:val="null3"/>
        <w:ind w:firstLine="480"/>
      </w:pPr>
      <w:r>
        <w:rPr>
          <w:rFonts w:ascii="仿宋_GB2312" w:hAnsi="仿宋_GB2312" w:cs="仿宋_GB2312" w:eastAsia="仿宋_GB2312"/>
        </w:rPr>
        <w:t>二、本竞争性谈判文件的最终解释权由</w:t>
      </w:r>
      <w:r>
        <w:rPr>
          <w:rFonts w:ascii="仿宋_GB2312" w:hAnsi="仿宋_GB2312" w:cs="仿宋_GB2312" w:eastAsia="仿宋_GB2312"/>
        </w:rPr>
        <w:t>西安建筑科技大学</w:t>
      </w:r>
      <w:r>
        <w:rPr>
          <w:rFonts w:ascii="仿宋_GB2312" w:hAnsi="仿宋_GB2312" w:cs="仿宋_GB2312" w:eastAsia="仿宋_GB2312"/>
        </w:rPr>
        <w:t>和</w:t>
      </w:r>
      <w:r>
        <w:rPr>
          <w:rFonts w:ascii="仿宋_GB2312" w:hAnsi="仿宋_GB2312" w:cs="仿宋_GB2312" w:eastAsia="仿宋_GB2312"/>
        </w:rPr>
        <w:t>陕西开源招标有限公司</w:t>
      </w:r>
      <w:r>
        <w:rPr>
          <w:rFonts w:ascii="仿宋_GB2312" w:hAnsi="仿宋_GB2312" w:cs="仿宋_GB2312" w:eastAsia="仿宋_GB2312"/>
        </w:rPr>
        <w:t>享有。竞争性谈判文件中供应商参加本次政府采购活动应当具备的条件、技术清单、参数、商务及其他要求由</w:t>
      </w:r>
      <w:r>
        <w:rPr>
          <w:rFonts w:ascii="仿宋_GB2312" w:hAnsi="仿宋_GB2312" w:cs="仿宋_GB2312" w:eastAsia="仿宋_GB2312"/>
        </w:rPr>
        <w:t>西安建筑科技大学</w:t>
      </w:r>
      <w:r>
        <w:rPr>
          <w:rFonts w:ascii="仿宋_GB2312" w:hAnsi="仿宋_GB2312" w:cs="仿宋_GB2312" w:eastAsia="仿宋_GB2312"/>
        </w:rPr>
        <w:t>负责解释。除上述竞争性谈判文件内容，其他内容由</w:t>
      </w:r>
      <w:r>
        <w:rPr>
          <w:rFonts w:ascii="仿宋_GB2312" w:hAnsi="仿宋_GB2312" w:cs="仿宋_GB2312" w:eastAsia="仿宋_GB2312"/>
        </w:rPr>
        <w:t>陕西开源招标有限公司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一、“采购人”是指依法进行政府采购的各级国家机关、事业单位、团体组织。本次谈判的采购人是</w:t>
      </w:r>
      <w:r>
        <w:rPr>
          <w:rFonts w:ascii="仿宋_GB2312" w:hAnsi="仿宋_GB2312" w:cs="仿宋_GB2312" w:eastAsia="仿宋_GB2312"/>
        </w:rPr>
        <w:t>西安建筑科技大学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二、“供应商”是指在按照采购公告规定获取谈判文件，拟参加响应和向采购人提供货物、工程或服务的法人、其他组织或自然人。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三、“代理机构”是指集中采购机构和集中采购机构以外的代理机构。本项目的代理机构是</w:t>
      </w:r>
      <w:r>
        <w:rPr>
          <w:rFonts w:ascii="仿宋_GB2312" w:hAnsi="仿宋_GB2312" w:cs="仿宋_GB2312" w:eastAsia="仿宋_GB2312"/>
        </w:rPr>
        <w:t>陕西开源招标有限公司</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五、“电子评审”是指通过项目电子化交易系统在线完成资格审查小组、谈判小组组建，开展资格和符合性审查、出具谈判报告、推荐成交候选供应商等活动。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供应商应自行承担参加竞争性谈判采购活动的全部费用。</w:t>
      </w:r>
    </w:p>
    <w:p>
      <w:pPr>
        <w:pStyle w:val="null3"/>
        <w:outlineLvl w:val="2"/>
      </w:pPr>
      <w:r>
        <w:rPr>
          <w:rFonts w:ascii="仿宋_GB2312" w:hAnsi="仿宋_GB2312" w:cs="仿宋_GB2312" w:eastAsia="仿宋_GB2312"/>
          <w:sz w:val="28"/>
          <w:b/>
        </w:rPr>
        <w:t>2.3竞争性谈判文件</w:t>
      </w:r>
    </w:p>
    <w:p>
      <w:pPr>
        <w:pStyle w:val="null3"/>
        <w:outlineLvl w:val="3"/>
      </w:pPr>
      <w:r>
        <w:rPr>
          <w:rFonts w:ascii="仿宋_GB2312" w:hAnsi="仿宋_GB2312" w:cs="仿宋_GB2312" w:eastAsia="仿宋_GB2312"/>
          <w:sz w:val="24"/>
          <w:b/>
        </w:rPr>
        <w:t xml:space="preserve"> 2.3.1竞争性谈判文件的构成</w:t>
      </w:r>
    </w:p>
    <w:p>
      <w:pPr>
        <w:pStyle w:val="null3"/>
        <w:ind w:firstLine="480"/>
      </w:pPr>
      <w:r>
        <w:rPr>
          <w:rFonts w:ascii="仿宋_GB2312" w:hAnsi="仿宋_GB2312" w:cs="仿宋_GB2312" w:eastAsia="仿宋_GB2312"/>
        </w:rPr>
        <w:t xml:space="preserve"> 一、竞争性谈判文件是供应商准备响应文件和参加谈判的依据，同时也是评审的重要依据。竞争性谈判文件用以阐明采购项目所需的资质、技术清单、参数及报价等要求、谈判程序、有关规定和注意事项以及合同草案条款等。本竞争性谈判文件包括以下内容：</w:t>
      </w:r>
    </w:p>
    <w:p>
      <w:pPr>
        <w:pStyle w:val="null3"/>
        <w:ind w:firstLine="480"/>
      </w:pPr>
      <w:r>
        <w:rPr>
          <w:rFonts w:ascii="仿宋_GB2312" w:hAnsi="仿宋_GB2312" w:cs="仿宋_GB2312" w:eastAsia="仿宋_GB2312"/>
        </w:rPr>
        <w:t>（一）竞争性谈判邀请；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（三）谈判项目技术、服务、商务及其他要求；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（五）谈判过程中可实质性变动的内容；</w:t>
      </w:r>
    </w:p>
    <w:p>
      <w:pPr>
        <w:pStyle w:val="null3"/>
        <w:ind w:firstLine="480"/>
      </w:pPr>
      <w:r>
        <w:rPr>
          <w:rFonts w:ascii="仿宋_GB2312" w:hAnsi="仿宋_GB2312" w:cs="仿宋_GB2312" w:eastAsia="仿宋_GB2312"/>
        </w:rPr>
        <w:t>（六）谈判办法；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二、供应商应认真阅读和充分理解谈判文件中所有的事项、格式条款和规范要求。供应商没有对谈判文件全面作出实质性响应所产生的风险由供应商承担。</w:t>
      </w:r>
    </w:p>
    <w:p>
      <w:pPr>
        <w:pStyle w:val="null3"/>
        <w:outlineLvl w:val="3"/>
      </w:pPr>
      <w:r>
        <w:rPr>
          <w:rFonts w:ascii="仿宋_GB2312" w:hAnsi="仿宋_GB2312" w:cs="仿宋_GB2312" w:eastAsia="仿宋_GB2312"/>
          <w:sz w:val="24"/>
          <w:b/>
        </w:rPr>
        <w:t xml:space="preserve"> 2.3.2竞争性谈判文件的澄清和修改</w:t>
      </w:r>
    </w:p>
    <w:p>
      <w:pPr>
        <w:pStyle w:val="null3"/>
        <w:ind w:firstLine="480"/>
      </w:pPr>
      <w:r>
        <w:rPr>
          <w:rFonts w:ascii="仿宋_GB2312" w:hAnsi="仿宋_GB2312" w:cs="仿宋_GB2312" w:eastAsia="仿宋_GB2312"/>
        </w:rPr>
        <w:t>一、在提交首次响应文件截止时间前，采购人或者代理机构可以对已发出的谈判文件进行必要的澄清或者修改。</w:t>
      </w:r>
    </w:p>
    <w:p>
      <w:pPr>
        <w:pStyle w:val="null3"/>
      </w:pPr>
      <w:r>
        <w:rPr>
          <w:rFonts w:ascii="仿宋_GB2312" w:hAnsi="仿宋_GB2312" w:cs="仿宋_GB2312" w:eastAsia="仿宋_GB2312"/>
        </w:rPr>
        <w:t>二、澄清或者修改的内容为谈判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谈判文件，供应商应依据更正后的谈判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2.4.1响应文件的语言（实质性要求）</w:t>
      </w:r>
    </w:p>
    <w:p>
      <w:pPr>
        <w:pStyle w:val="null3"/>
        <w:ind w:firstLine="480"/>
      </w:pPr>
      <w:r>
        <w:rPr>
          <w:rFonts w:ascii="仿宋_GB2312" w:hAnsi="仿宋_GB2312" w:cs="仿宋_GB2312" w:eastAsia="仿宋_GB2312"/>
        </w:rPr>
        <w:t xml:space="preserve"> 一、供应商提交的响应文件以及供应商与谈判小组在谈判过程中的所有来往书面文件均须使用中文。响应文件中如附有外文资料，主要部分要对应翻译成中文并附在相关外文资料后面。未翻译的外文资料，谈判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除谈判文件中另有规定外，本项目均采用国家法定的计量单位。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按采购文件、响应文件及合同约定执行</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四、构成本谈判文件的各组成部分，未经采购人书面同意，供应商不得擅自复印或用于非本谈判项目所需的其他目的。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供应商应按照谈判文件的规定和要求编制响应文件。</w:t>
      </w:r>
    </w:p>
    <w:p>
      <w:pPr>
        <w:pStyle w:val="null3"/>
        <w:ind w:firstLine="480"/>
        <w:jc w:val="left"/>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一、供应商应按照谈判文件第七章中提供的“响应文件格式”填写相关内容。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一、供应商的报价是其响应谈判项目要求的全部工作内容的价格体现，包括供应商完成本项目所需的一切费用。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谈判文件第六章谈判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一、响应文件应当根据谈判文件进行编制。供应商应通过陕西省政府采购网-办事指南-CA及签章服务下载投标（响应）客户端，使用客户端编制响应文件。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二、供应商应按照客户端操作要求，对应谈判文件的每项资格、符合性要求，逐一对应进行响应；未逐一对应进行响应或者响应内容不符合谈判文件对应项的要求的，其响应文件作无效处理。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谈判文件澄清或者修改的内容可能影响响应文件编制的，代理机构将重新发布澄清或者修改后的谈判文件，供应商应重新获取澄清或者修改后的谈判文件，按照澄清或者修改后的谈判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2.5开启、资格审查、谈判和确定成交供应商</w:t>
      </w:r>
    </w:p>
    <w:p>
      <w:pPr>
        <w:pStyle w:val="null3"/>
        <w:outlineLvl w:val="3"/>
      </w:pPr>
      <w:r>
        <w:rPr>
          <w:rFonts w:ascii="仿宋_GB2312" w:hAnsi="仿宋_GB2312" w:cs="仿宋_GB2312" w:eastAsia="仿宋_GB2312"/>
          <w:sz w:val="24"/>
          <w:b/>
        </w:rPr>
        <w:t>2.5.1谈判开启程序</w:t>
      </w:r>
    </w:p>
    <w:p>
      <w:pPr>
        <w:pStyle w:val="null3"/>
        <w:ind w:firstLine="480"/>
      </w:pPr>
      <w:r>
        <w:rPr>
          <w:rFonts w:ascii="仿宋_GB2312" w:hAnsi="仿宋_GB2312" w:cs="仿宋_GB2312" w:eastAsia="仿宋_GB2312"/>
        </w:rPr>
        <w:t xml:space="preserve"> 一、本项目为竞争性谈判项目。网上开启的开始时间为响应文件提交截止时间。成功提交或解密电子响应文件的供应商不足3家的，不予开启，采购人或代理机构将终止采购活动。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二、谈判开启准备工作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详见谈判文件第四章。</w:t>
      </w:r>
    </w:p>
    <w:p>
      <w:pPr>
        <w:pStyle w:val="null3"/>
        <w:outlineLvl w:val="3"/>
      </w:pPr>
      <w:r>
        <w:rPr>
          <w:rFonts w:ascii="仿宋_GB2312" w:hAnsi="仿宋_GB2312" w:cs="仿宋_GB2312" w:eastAsia="仿宋_GB2312"/>
          <w:sz w:val="24"/>
          <w:b/>
        </w:rPr>
        <w:t>2.5.4谈判</w:t>
      </w:r>
    </w:p>
    <w:p>
      <w:pPr>
        <w:pStyle w:val="null3"/>
        <w:ind w:firstLine="480"/>
      </w:pPr>
      <w:r>
        <w:rPr>
          <w:rFonts w:ascii="仿宋_GB2312" w:hAnsi="仿宋_GB2312" w:cs="仿宋_GB2312" w:eastAsia="仿宋_GB2312"/>
        </w:rPr>
        <w:t>详见谈判文件第六章。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一、采购人或者谈判小组确认成交供应商后，代理机构在陕西省政府采购网发布成交结果公告、通过项目电子化交易系统发出成交通知书，成交供应商通过项目电子化交易系统获取成交通知书。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二、采购人和成交供应商签订的采购合同不得对谈判文件确定的事项以及成交供应商的响应文件作实质性修改。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谈判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2"/>
      </w:pPr>
      <w:r>
        <w:rPr>
          <w:rFonts w:ascii="仿宋_GB2312" w:hAnsi="仿宋_GB2312" w:cs="仿宋_GB2312" w:eastAsia="仿宋_GB2312"/>
          <w:sz w:val="28"/>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2"/>
      </w:pPr>
      <w:r>
        <w:rPr>
          <w:rFonts w:ascii="仿宋_GB2312" w:hAnsi="仿宋_GB2312" w:cs="仿宋_GB2312" w:eastAsia="仿宋_GB2312"/>
          <w:sz w:val="28"/>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按采购文件、响应文件及合同约定执行</w:t>
      </w:r>
    </w:p>
    <w:p>
      <w:pPr>
        <w:pStyle w:val="null3"/>
        <w:outlineLvl w:val="2"/>
      </w:pPr>
      <w:r>
        <w:rPr>
          <w:rFonts w:ascii="仿宋_GB2312" w:hAnsi="仿宋_GB2312" w:cs="仿宋_GB2312" w:eastAsia="仿宋_GB2312"/>
          <w:sz w:val="28"/>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2.7.1谈判活动纪律要求</w:t>
      </w:r>
    </w:p>
    <w:p>
      <w:pPr>
        <w:pStyle w:val="null3"/>
        <w:ind w:firstLine="480"/>
      </w:pPr>
      <w:r>
        <w:rPr>
          <w:rFonts w:ascii="仿宋_GB2312" w:hAnsi="仿宋_GB2312" w:cs="仿宋_GB2312" w:eastAsia="仿宋_GB2312"/>
        </w:rPr>
        <w:t xml:space="preserve"> 采购人、代理机构应保证谈判活动在严格保密的情况下进行，采购人、代理机构、供应商和谈判小组成员应当严格遵守政府采购法律法规规章制度和本项目谈判文件以及代理机构现场管理规定，接受采购人委派的监督人员的监督，任何单位和个人不得非法干预和影响谈判过程和结果。</w:t>
      </w:r>
    </w:p>
    <w:p>
      <w:pPr>
        <w:pStyle w:val="null3"/>
        <w:ind w:firstLine="480"/>
      </w:pPr>
      <w:r>
        <w:rPr>
          <w:rFonts w:ascii="仿宋_GB2312" w:hAnsi="仿宋_GB2312" w:cs="仿宋_GB2312" w:eastAsia="仿宋_GB2312"/>
        </w:rPr>
        <w:t>对各供应商的商业秘密，谈判小组成员应予以保密，不得泄露给其他供应商。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供应商参加谈判不得有下列情形：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（二）不同供应商委托同一单位或者个人办理谈判事宜；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五、向采购人或代理机构、谈判小组成员行贿或者提供其他不正当利益；</w:t>
      </w:r>
    </w:p>
    <w:p>
      <w:pPr>
        <w:pStyle w:val="null3"/>
        <w:ind w:firstLine="480"/>
      </w:pPr>
      <w:r>
        <w:rPr>
          <w:rFonts w:ascii="仿宋_GB2312" w:hAnsi="仿宋_GB2312" w:cs="仿宋_GB2312" w:eastAsia="仿宋_GB2312"/>
        </w:rPr>
        <w:t>六、在谈判过程中与采购人或代理机构进行协商谈判；</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八、未按照谈判文件确定的事项签订政府采购合同；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陕西开源招标有限公司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陕西开源招标有限公司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陕西开源招标有限公司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谈判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联系人：汪涛、刘金柯</w:t>
      </w:r>
    </w:p>
    <w:p>
      <w:pPr>
        <w:pStyle w:val="null3"/>
      </w:pPr>
      <w:r>
        <w:rPr>
          <w:rFonts w:ascii="仿宋_GB2312" w:hAnsi="仿宋_GB2312" w:cs="仿宋_GB2312" w:eastAsia="仿宋_GB2312"/>
        </w:rPr>
        <w:t>联系电话：029-81206622-821</w:t>
      </w:r>
    </w:p>
    <w:p>
      <w:pPr>
        <w:pStyle w:val="null3"/>
      </w:pPr>
      <w:r>
        <w:rPr>
          <w:rFonts w:ascii="仿宋_GB2312" w:hAnsi="仿宋_GB2312" w:cs="仿宋_GB2312" w:eastAsia="仿宋_GB2312"/>
        </w:rPr>
        <w:t>地址：西安市雁展路1111号莱安中心T6-15层</w:t>
      </w:r>
    </w:p>
    <w:p>
      <w:pPr>
        <w:pStyle w:val="null3"/>
      </w:pPr>
      <w:r>
        <w:rPr>
          <w:rFonts w:ascii="仿宋_GB2312" w:hAnsi="仿宋_GB2312" w:cs="仿宋_GB2312" w:eastAsia="仿宋_GB2312"/>
        </w:rPr>
        <w:t>邮编：710061</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（五）针对质疑事项必要的证明材料（针对谈判文件提出的质疑，需提交从项目电子化交易系统获取的谈判文件回执单）。</w:t>
      </w:r>
    </w:p>
    <w:p>
      <w:pPr>
        <w:pStyle w:val="null3"/>
        <w:ind w:firstLine="480"/>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谈判项目技术、服务、商务及其他要求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项目建设后将有效弥补校内现有同类设备在温度范围、分辨率和原位动态观察能力上的不足，服务国家重大工程相关材料研发、科研项目申报、本科生实验教学和研究生培养，并面向校内外开放共享，提升学校学科建设、科技创新和社会服务能力。具体内容详见采购需求。</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1,520,000.00</w:t>
      </w:r>
    </w:p>
    <w:p>
      <w:pPr>
        <w:pStyle w:val="null3"/>
      </w:pPr>
      <w:r>
        <w:rPr>
          <w:rFonts w:ascii="仿宋_GB2312" w:hAnsi="仿宋_GB2312" w:cs="仿宋_GB2312" w:eastAsia="仿宋_GB2312"/>
        </w:rPr>
        <w:t>采购包最高限价（元）: 1,364,000.00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空间运动多功能臂基础应用实践平台</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1,520,000.00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标的名称：空间运动多功能臂基础应用实践平台</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spacing w:before="120"/>
              <w:jc w:val="left"/>
            </w:pPr>
            <w:r>
              <w:rPr>
                <w:rFonts w:ascii="仿宋_GB2312" w:hAnsi="仿宋_GB2312" w:cs="仿宋_GB2312" w:eastAsia="仿宋_GB2312"/>
                <w:sz w:val="28"/>
                <w:b/>
              </w:rPr>
              <w:t>1.</w:t>
            </w:r>
            <w:r>
              <w:rPr>
                <w:rFonts w:ascii="仿宋_GB2312" w:hAnsi="仿宋_GB2312" w:cs="仿宋_GB2312" w:eastAsia="仿宋_GB2312"/>
                <w:sz w:val="28"/>
                <w:b/>
              </w:rPr>
              <w:t>采购清单及技术标准、配置要求：</w:t>
            </w:r>
          </w:p>
          <w:p>
            <w:pPr>
              <w:pStyle w:val="null3"/>
            </w:pPr>
            <w:r>
              <w:rPr>
                <w:rFonts w:ascii="仿宋_GB2312" w:hAnsi="仿宋_GB2312" w:cs="仿宋_GB2312" w:eastAsia="仿宋_GB2312"/>
                <w:sz w:val="24"/>
                <w:b/>
                <w:color w:val="000000"/>
                <w:shd w:fill="FFFFFF" w:val="clear"/>
              </w:rPr>
              <w:t>一、</w:t>
            </w:r>
            <w:r>
              <w:rPr>
                <w:rFonts w:ascii="仿宋_GB2312" w:hAnsi="仿宋_GB2312" w:cs="仿宋_GB2312" w:eastAsia="仿宋_GB2312"/>
                <w:sz w:val="24"/>
                <w:b/>
                <w:color w:val="000000"/>
                <w:shd w:fill="FFFFFF" w:val="clear"/>
              </w:rPr>
              <w:t>采购清单</w:t>
            </w:r>
          </w:p>
          <w:tbl>
            <w:tblPr>
              <w:tblBorders>
                <w:top w:val="none" w:color="000000" w:sz="4"/>
                <w:left w:val="none" w:color="000000" w:sz="4"/>
                <w:bottom w:val="none" w:color="000000" w:sz="4"/>
                <w:right w:val="none" w:color="000000" w:sz="4"/>
                <w:insideH w:val="none"/>
                <w:insideV w:val="none"/>
              </w:tblBorders>
            </w:tblPr>
            <w:tblGrid>
              <w:gridCol w:w="290"/>
              <w:gridCol w:w="1263"/>
              <w:gridCol w:w="500"/>
              <w:gridCol w:w="500"/>
            </w:tblGrid>
            <w:tr>
              <w:tc>
                <w:tcPr>
                  <w:tcW w:type="dxa" w:w="290"/>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shd w:fill="FFFFFF" w:val="clear"/>
                    </w:rPr>
                    <w:t>序号</w:t>
                  </w:r>
                </w:p>
              </w:tc>
              <w:tc>
                <w:tcPr>
                  <w:tcW w:type="dxa" w:w="1263"/>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shd w:fill="FFFFFF" w:val="clear"/>
                    </w:rPr>
                    <w:t>产品名称</w:t>
                  </w:r>
                </w:p>
              </w:tc>
              <w:tc>
                <w:tcPr>
                  <w:tcW w:type="dxa" w:w="500"/>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shd w:fill="FFFFFF" w:val="clear"/>
                    </w:rPr>
                    <w:t>数量</w:t>
                  </w:r>
                </w:p>
              </w:tc>
              <w:tc>
                <w:tcPr>
                  <w:tcW w:type="dxa" w:w="500"/>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shd w:fill="FFFFFF" w:val="clear"/>
                    </w:rPr>
                    <w:t>单位</w:t>
                  </w:r>
                </w:p>
              </w:tc>
            </w:tr>
            <w:tr>
              <w:tc>
                <w:tcPr>
                  <w:tcW w:type="dxa" w:w="29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1</w:t>
                  </w:r>
                </w:p>
              </w:tc>
              <w:tc>
                <w:tcPr>
                  <w:tcW w:type="dxa" w:w="126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空间运动多功能臂基础应用实践平台</w:t>
                  </w:r>
                </w:p>
                <w:p>
                  <w:pPr>
                    <w:pStyle w:val="null3"/>
                    <w:jc w:val="center"/>
                  </w:pPr>
                  <w:r>
                    <w:rPr>
                      <w:rFonts w:ascii="仿宋_GB2312" w:hAnsi="仿宋_GB2312" w:cs="仿宋_GB2312" w:eastAsia="仿宋_GB2312"/>
                      <w:sz w:val="21"/>
                      <w:b/>
                      <w:color w:val="000000"/>
                    </w:rPr>
                    <w:t>【核心产品】</w:t>
                  </w:r>
                </w:p>
              </w:tc>
              <w:tc>
                <w:tcPr>
                  <w:tcW w:type="dxa" w:w="50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1</w:t>
                  </w:r>
                </w:p>
              </w:tc>
              <w:tc>
                <w:tcPr>
                  <w:tcW w:type="dxa" w:w="50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套</w:t>
                  </w:r>
                </w:p>
              </w:tc>
            </w:tr>
          </w:tbl>
          <w:p>
            <w:pPr>
              <w:pStyle w:val="null3"/>
              <w:jc w:val="left"/>
            </w:pPr>
            <w:r>
              <w:rPr>
                <w:rFonts w:ascii="仿宋_GB2312" w:hAnsi="仿宋_GB2312" w:cs="仿宋_GB2312" w:eastAsia="仿宋_GB2312"/>
                <w:sz w:val="24"/>
                <w:b/>
              </w:rPr>
              <w:t>二、技术标准、配置要求</w:t>
            </w:r>
          </w:p>
          <w:tbl>
            <w:tblPr>
              <w:tblBorders>
                <w:top w:val="none" w:color="000000" w:sz="4"/>
                <w:left w:val="none" w:color="000000" w:sz="4"/>
                <w:bottom w:val="none" w:color="000000" w:sz="4"/>
                <w:right w:val="none" w:color="000000" w:sz="4"/>
                <w:insideH w:val="none"/>
                <w:insideV w:val="none"/>
              </w:tblBorders>
            </w:tblPr>
            <w:tblGrid>
              <w:gridCol w:w="132"/>
              <w:gridCol w:w="242"/>
              <w:gridCol w:w="1543"/>
              <w:gridCol w:w="427"/>
              <w:gridCol w:w="207"/>
            </w:tblGrid>
            <w:tr>
              <w:tc>
                <w:tcPr>
                  <w:tcW w:type="dxa" w:w="132"/>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b/>
                    </w:rPr>
                    <w:t>序号</w:t>
                  </w:r>
                </w:p>
              </w:tc>
              <w:tc>
                <w:tcPr>
                  <w:tcW w:type="dxa" w:w="242"/>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b/>
                    </w:rPr>
                    <w:t>产品名称</w:t>
                  </w:r>
                </w:p>
              </w:tc>
              <w:tc>
                <w:tcPr>
                  <w:tcW w:type="dxa" w:w="1543"/>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b/>
                    </w:rPr>
                    <w:t>技术标准</w:t>
                  </w:r>
                </w:p>
              </w:tc>
              <w:tc>
                <w:tcPr>
                  <w:tcW w:type="dxa" w:w="427"/>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b/>
                    </w:rPr>
                    <w:t>配置要求</w:t>
                  </w:r>
                </w:p>
              </w:tc>
              <w:tc>
                <w:tcPr>
                  <w:tcW w:type="dxa" w:w="207"/>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b/>
                    </w:rPr>
                    <w:t>数量</w:t>
                  </w:r>
                </w:p>
              </w:tc>
            </w:tr>
            <w:tr>
              <w:tc>
                <w:tcPr>
                  <w:tcW w:type="dxa" w:w="13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b/>
                    </w:rPr>
                    <w:t>1</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空间运动多功能臂基础应用实践平台</w:t>
                  </w:r>
                </w:p>
              </w:tc>
              <w:tc>
                <w:tcPr>
                  <w:tcW w:type="dxa" w:w="154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b/>
                      <w:color w:val="000000"/>
                    </w:rPr>
                    <w:t xml:space="preserve">1 </w:t>
                  </w:r>
                  <w:r>
                    <w:rPr>
                      <w:rFonts w:ascii="仿宋_GB2312" w:hAnsi="仿宋_GB2312" w:cs="仿宋_GB2312" w:eastAsia="仿宋_GB2312"/>
                      <w:sz w:val="24"/>
                      <w:b/>
                      <w:color w:val="000000"/>
                    </w:rPr>
                    <w:t>空间运动多功能臂基础应用子系统</w:t>
                  </w:r>
                </w:p>
                <w:p>
                  <w:pPr>
                    <w:pStyle w:val="null3"/>
                  </w:pPr>
                  <w:r>
                    <w:rPr>
                      <w:rFonts w:ascii="仿宋_GB2312" w:hAnsi="仿宋_GB2312" w:cs="仿宋_GB2312" w:eastAsia="仿宋_GB2312"/>
                      <w:sz w:val="24"/>
                      <w:b/>
                      <w:color w:val="000000"/>
                    </w:rPr>
                    <w:t xml:space="preserve">1.1 </w:t>
                  </w:r>
                  <w:r>
                    <w:rPr>
                      <w:rFonts w:ascii="仿宋_GB2312" w:hAnsi="仿宋_GB2312" w:cs="仿宋_GB2312" w:eastAsia="仿宋_GB2312"/>
                      <w:sz w:val="24"/>
                      <w:b/>
                      <w:color w:val="000000"/>
                    </w:rPr>
                    <w:t>固定式空间运动多功能臂机械结构模块参数</w:t>
                  </w:r>
                </w:p>
                <w:p>
                  <w:pPr>
                    <w:pStyle w:val="null3"/>
                  </w:pPr>
                  <w:r>
                    <w:rPr>
                      <w:rFonts w:ascii="仿宋_GB2312" w:hAnsi="仿宋_GB2312" w:cs="仿宋_GB2312" w:eastAsia="仿宋_GB2312"/>
                      <w:sz w:val="24"/>
                      <w:color w:val="000000"/>
                    </w:rPr>
                    <w:t xml:space="preserve">1) </w:t>
                  </w:r>
                  <w:r>
                    <w:rPr>
                      <w:rFonts w:ascii="仿宋_GB2312" w:hAnsi="仿宋_GB2312" w:cs="仿宋_GB2312" w:eastAsia="仿宋_GB2312"/>
                      <w:sz w:val="24"/>
                      <w:color w:val="000000"/>
                    </w:rPr>
                    <w:t>自由度：6</w:t>
                  </w:r>
                </w:p>
                <w:p>
                  <w:pPr>
                    <w:pStyle w:val="null3"/>
                  </w:pPr>
                  <w:r>
                    <w:rPr>
                      <w:rFonts w:ascii="仿宋_GB2312" w:hAnsi="仿宋_GB2312" w:cs="仿宋_GB2312" w:eastAsia="仿宋_GB2312"/>
                      <w:sz w:val="24"/>
                      <w:color w:val="000000"/>
                    </w:rPr>
                    <w:t xml:space="preserve">2) </w:t>
                  </w:r>
                  <w:r>
                    <w:rPr>
                      <w:rFonts w:ascii="仿宋_GB2312" w:hAnsi="仿宋_GB2312" w:cs="仿宋_GB2312" w:eastAsia="仿宋_GB2312"/>
                      <w:sz w:val="24"/>
                      <w:color w:val="000000"/>
                    </w:rPr>
                    <w:t>最大负载：≥6kg</w:t>
                  </w:r>
                </w:p>
                <w:p>
                  <w:pPr>
                    <w:pStyle w:val="null3"/>
                  </w:pPr>
                  <w:r>
                    <w:rPr>
                      <w:rFonts w:ascii="仿宋_GB2312" w:hAnsi="仿宋_GB2312" w:cs="仿宋_GB2312" w:eastAsia="仿宋_GB2312"/>
                      <w:sz w:val="24"/>
                      <w:color w:val="000000"/>
                    </w:rPr>
                    <w:t>3) 重复定位精度：≤0.02mm</w:t>
                  </w:r>
                </w:p>
                <w:p>
                  <w:pPr>
                    <w:pStyle w:val="null3"/>
                  </w:pPr>
                  <w:r>
                    <w:rPr>
                      <w:rFonts w:ascii="仿宋_GB2312" w:hAnsi="仿宋_GB2312" w:cs="仿宋_GB2312" w:eastAsia="仿宋_GB2312"/>
                      <w:sz w:val="24"/>
                      <w:color w:val="000000"/>
                    </w:rPr>
                    <w:t>4) 最大臂展：≥900mm</w:t>
                  </w:r>
                </w:p>
                <w:p>
                  <w:pPr>
                    <w:pStyle w:val="null3"/>
                  </w:pPr>
                  <w:r>
                    <w:rPr>
                      <w:rFonts w:ascii="仿宋_GB2312" w:hAnsi="仿宋_GB2312" w:cs="仿宋_GB2312" w:eastAsia="仿宋_GB2312"/>
                      <w:sz w:val="24"/>
                      <w:color w:val="000000"/>
                    </w:rPr>
                    <w:t xml:space="preserve">5) </w:t>
                  </w:r>
                  <w:r>
                    <w:rPr>
                      <w:rFonts w:ascii="仿宋_GB2312" w:hAnsi="仿宋_GB2312" w:cs="仿宋_GB2312" w:eastAsia="仿宋_GB2312"/>
                      <w:sz w:val="24"/>
                      <w:color w:val="000000"/>
                    </w:rPr>
                    <w:t>各轴运动范围：</w:t>
                  </w:r>
                </w:p>
                <w:p>
                  <w:pPr>
                    <w:pStyle w:val="null3"/>
                  </w:pPr>
                  <w:r>
                    <w:rPr>
                      <w:rFonts w:ascii="仿宋_GB2312" w:hAnsi="仿宋_GB2312" w:cs="仿宋_GB2312" w:eastAsia="仿宋_GB2312"/>
                      <w:sz w:val="24"/>
                      <w:color w:val="000000"/>
                    </w:rPr>
                    <w:t>J1</w:t>
                  </w:r>
                  <w:r>
                    <w:rPr>
                      <w:rFonts w:ascii="仿宋_GB2312" w:hAnsi="仿宋_GB2312" w:cs="仿宋_GB2312" w:eastAsia="仿宋_GB2312"/>
                      <w:sz w:val="24"/>
                      <w:color w:val="000000"/>
                    </w:rPr>
                    <w:t>轴：-180°~+180°   J2轴：-180°~+180°    J3轴：-180°~+180°</w:t>
                  </w:r>
                </w:p>
                <w:p>
                  <w:pPr>
                    <w:pStyle w:val="null3"/>
                  </w:pPr>
                  <w:r>
                    <w:rPr>
                      <w:rFonts w:ascii="仿宋_GB2312" w:hAnsi="仿宋_GB2312" w:cs="仿宋_GB2312" w:eastAsia="仿宋_GB2312"/>
                      <w:sz w:val="24"/>
                      <w:color w:val="000000"/>
                    </w:rPr>
                    <w:t>J4</w:t>
                  </w:r>
                  <w:r>
                    <w:rPr>
                      <w:rFonts w:ascii="仿宋_GB2312" w:hAnsi="仿宋_GB2312" w:cs="仿宋_GB2312" w:eastAsia="仿宋_GB2312"/>
                      <w:sz w:val="24"/>
                      <w:color w:val="000000"/>
                    </w:rPr>
                    <w:t>轴：-360°~+360°   J5轴：-180°~+180°   J6轴：-360°~+360°</w:t>
                  </w:r>
                </w:p>
                <w:p>
                  <w:pPr>
                    <w:pStyle w:val="null3"/>
                  </w:pPr>
                  <w:r>
                    <w:rPr>
                      <w:rFonts w:ascii="仿宋_GB2312" w:hAnsi="仿宋_GB2312" w:cs="仿宋_GB2312" w:eastAsia="仿宋_GB2312"/>
                      <w:sz w:val="24"/>
                      <w:color w:val="000000"/>
                    </w:rPr>
                    <w:t>6) 最大单轴速度：</w:t>
                  </w:r>
                </w:p>
                <w:p>
                  <w:pPr>
                    <w:pStyle w:val="null3"/>
                  </w:pPr>
                  <w:r>
                    <w:rPr>
                      <w:rFonts w:ascii="仿宋_GB2312" w:hAnsi="仿宋_GB2312" w:cs="仿宋_GB2312" w:eastAsia="仿宋_GB2312"/>
                      <w:sz w:val="24"/>
                      <w:color w:val="000000"/>
                    </w:rPr>
                    <w:t>J1轴≥120°/s    J2轴≥120°/s    J3轴≥120°/s</w:t>
                  </w:r>
                </w:p>
                <w:p>
                  <w:pPr>
                    <w:pStyle w:val="null3"/>
                  </w:pPr>
                  <w:r>
                    <w:rPr>
                      <w:rFonts w:ascii="仿宋_GB2312" w:hAnsi="仿宋_GB2312" w:cs="仿宋_GB2312" w:eastAsia="仿宋_GB2312"/>
                      <w:sz w:val="24"/>
                      <w:color w:val="000000"/>
                    </w:rPr>
                    <w:t>J4轴≥240°/s    J5轴≥240°/s    J6轴≥240°/s</w:t>
                  </w:r>
                </w:p>
                <w:p>
                  <w:pPr>
                    <w:pStyle w:val="null3"/>
                  </w:pPr>
                  <w:r>
                    <w:rPr>
                      <w:rFonts w:ascii="仿宋_GB2312" w:hAnsi="仿宋_GB2312" w:cs="仿宋_GB2312" w:eastAsia="仿宋_GB2312"/>
                      <w:sz w:val="24"/>
                      <w:color w:val="000000"/>
                    </w:rPr>
                    <w:t xml:space="preserve">7) </w:t>
                  </w:r>
                  <w:r>
                    <w:rPr>
                      <w:rFonts w:ascii="仿宋_GB2312" w:hAnsi="仿宋_GB2312" w:cs="仿宋_GB2312" w:eastAsia="仿宋_GB2312"/>
                      <w:sz w:val="24"/>
                      <w:color w:val="000000"/>
                    </w:rPr>
                    <w:t>具备碰撞检测功能</w:t>
                  </w:r>
                </w:p>
                <w:p>
                  <w:pPr>
                    <w:pStyle w:val="null3"/>
                  </w:pPr>
                  <w:r>
                    <w:rPr>
                      <w:rFonts w:ascii="仿宋_GB2312" w:hAnsi="仿宋_GB2312" w:cs="仿宋_GB2312" w:eastAsia="仿宋_GB2312"/>
                      <w:sz w:val="24"/>
                      <w:color w:val="000000"/>
                    </w:rPr>
                    <w:t xml:space="preserve">8) </w:t>
                  </w:r>
                  <w:r>
                    <w:rPr>
                      <w:rFonts w:ascii="仿宋_GB2312" w:hAnsi="仿宋_GB2312" w:cs="仿宋_GB2312" w:eastAsia="仿宋_GB2312"/>
                      <w:sz w:val="24"/>
                      <w:color w:val="000000"/>
                    </w:rPr>
                    <w:t>具备二次开发功能</w:t>
                  </w:r>
                </w:p>
                <w:p>
                  <w:pPr>
                    <w:pStyle w:val="null3"/>
                  </w:pPr>
                  <w:r>
                    <w:rPr>
                      <w:rFonts w:ascii="仿宋_GB2312" w:hAnsi="仿宋_GB2312" w:cs="仿宋_GB2312" w:eastAsia="仿宋_GB2312"/>
                      <w:sz w:val="24"/>
                      <w:color w:val="000000"/>
                    </w:rPr>
                    <w:t>（以上1)~8)提供相关佐证材料）</w:t>
                  </w:r>
                </w:p>
                <w:p>
                  <w:pPr>
                    <w:pStyle w:val="null3"/>
                  </w:pPr>
                  <w:r>
                    <w:rPr>
                      <w:rFonts w:ascii="仿宋_GB2312" w:hAnsi="仿宋_GB2312" w:cs="仿宋_GB2312" w:eastAsia="仿宋_GB2312"/>
                      <w:sz w:val="24"/>
                      <w:color w:val="000000"/>
                    </w:rPr>
                    <w:t>9</w:t>
                  </w:r>
                  <w:r>
                    <w:rPr>
                      <w:rFonts w:ascii="仿宋_GB2312" w:hAnsi="仿宋_GB2312" w:cs="仿宋_GB2312" w:eastAsia="仿宋_GB2312"/>
                      <w:sz w:val="24"/>
                      <w:color w:val="000000"/>
                    </w:rPr>
                    <w:t>）码垛场景：2层结构，立式安装，带标准安装孔位，适配实训平台通用安装接口，规格尺寸：≥220*180*160mm；</w:t>
                  </w:r>
                </w:p>
                <w:p>
                  <w:pPr>
                    <w:pStyle w:val="null3"/>
                  </w:pPr>
                  <w:r>
                    <w:rPr>
                      <w:rFonts w:ascii="仿宋_GB2312" w:hAnsi="仿宋_GB2312" w:cs="仿宋_GB2312" w:eastAsia="仿宋_GB2312"/>
                      <w:sz w:val="24"/>
                      <w:color w:val="000000"/>
                    </w:rPr>
                    <w:t>10</w:t>
                  </w:r>
                  <w:r>
                    <w:rPr>
                      <w:rFonts w:ascii="仿宋_GB2312" w:hAnsi="仿宋_GB2312" w:cs="仿宋_GB2312" w:eastAsia="仿宋_GB2312"/>
                      <w:sz w:val="24"/>
                      <w:color w:val="000000"/>
                    </w:rPr>
                    <w:t>）涂胶场景：涂胶线宽：0.5~5mm 可调，重复定位精度：≤±0.1mm，规格尺寸：≥250*140*170mm；</w:t>
                  </w:r>
                </w:p>
                <w:p>
                  <w:pPr>
                    <w:pStyle w:val="null3"/>
                  </w:pPr>
                  <w:r>
                    <w:rPr>
                      <w:rFonts w:ascii="仿宋_GB2312" w:hAnsi="仿宋_GB2312" w:cs="仿宋_GB2312" w:eastAsia="仿宋_GB2312"/>
                      <w:sz w:val="24"/>
                      <w:color w:val="000000"/>
                    </w:rPr>
                    <w:t>11</w:t>
                  </w:r>
                  <w:r>
                    <w:rPr>
                      <w:rFonts w:ascii="仿宋_GB2312" w:hAnsi="仿宋_GB2312" w:cs="仿宋_GB2312" w:eastAsia="仿宋_GB2312"/>
                      <w:sz w:val="24"/>
                      <w:color w:val="000000"/>
                    </w:rPr>
                    <w:t>）供料装配场景：井式供料机构：有机玻璃管长：≥100mm；气缸行程：≥50mm</w:t>
                  </w:r>
                </w:p>
                <w:p>
                  <w:pPr>
                    <w:pStyle w:val="null3"/>
                  </w:pPr>
                  <w:r>
                    <w:rPr>
                      <w:rFonts w:ascii="仿宋_GB2312" w:hAnsi="仿宋_GB2312" w:cs="仿宋_GB2312" w:eastAsia="仿宋_GB2312"/>
                      <w:sz w:val="24"/>
                      <w:color w:val="000000"/>
                    </w:rPr>
                    <w:t>12</w:t>
                  </w:r>
                  <w:r>
                    <w:rPr>
                      <w:rFonts w:ascii="仿宋_GB2312" w:hAnsi="仿宋_GB2312" w:cs="仿宋_GB2312" w:eastAsia="仿宋_GB2312"/>
                      <w:sz w:val="24"/>
                      <w:color w:val="000000"/>
                    </w:rPr>
                    <w:t>）打磨场景：工业铝合金型材 + 高强度工装底板，刚性强、抗振动、不易形变；尺寸规格：≥120*120*200mm；打磨主轴转速 0~2000r/min 可调。</w:t>
                  </w:r>
                </w:p>
                <w:p>
                  <w:pPr>
                    <w:pStyle w:val="null3"/>
                  </w:pPr>
                  <w:r>
                    <w:rPr>
                      <w:rFonts w:ascii="仿宋_GB2312" w:hAnsi="仿宋_GB2312" w:cs="仿宋_GB2312" w:eastAsia="仿宋_GB2312"/>
                      <w:sz w:val="24"/>
                      <w:color w:val="000000"/>
                    </w:rPr>
                    <w:t>13</w:t>
                  </w:r>
                  <w:r>
                    <w:rPr>
                      <w:rFonts w:ascii="仿宋_GB2312" w:hAnsi="仿宋_GB2312" w:cs="仿宋_GB2312" w:eastAsia="仿宋_GB2312"/>
                      <w:sz w:val="24"/>
                      <w:color w:val="000000"/>
                    </w:rPr>
                    <w:t>）数控场景：模拟加工，气动夹具夹持范围：</w:t>
                  </w:r>
                  <w:r>
                    <w:rPr>
                      <w:rFonts w:ascii="仿宋_GB2312" w:hAnsi="仿宋_GB2312" w:cs="仿宋_GB2312" w:eastAsia="仿宋_GB2312"/>
                      <w:sz w:val="24"/>
                      <w:color w:val="000000"/>
                    </w:rPr>
                    <w:t>φ</w:t>
                  </w:r>
                  <w:r>
                    <w:rPr>
                      <w:rFonts w:ascii="仿宋_GB2312" w:hAnsi="仿宋_GB2312" w:cs="仿宋_GB2312" w:eastAsia="仿宋_GB2312"/>
                      <w:sz w:val="24"/>
                      <w:color w:val="000000"/>
                    </w:rPr>
                    <w:t>30mm</w:t>
                  </w:r>
                  <w:r>
                    <w:rPr>
                      <w:rFonts w:ascii="仿宋_GB2312" w:hAnsi="仿宋_GB2312" w:cs="仿宋_GB2312" w:eastAsia="仿宋_GB2312"/>
                      <w:sz w:val="24"/>
                      <w:color w:val="000000"/>
                    </w:rPr>
                    <w:t>～</w:t>
                  </w:r>
                  <w:r>
                    <w:rPr>
                      <w:rFonts w:ascii="仿宋_GB2312" w:hAnsi="仿宋_GB2312" w:cs="仿宋_GB2312" w:eastAsia="仿宋_GB2312"/>
                      <w:sz w:val="24"/>
                      <w:color w:val="000000"/>
                    </w:rPr>
                    <w:t>φ</w:t>
                  </w:r>
                  <w:r>
                    <w:rPr>
                      <w:rFonts w:ascii="仿宋_GB2312" w:hAnsi="仿宋_GB2312" w:cs="仿宋_GB2312" w:eastAsia="仿宋_GB2312"/>
                      <w:sz w:val="24"/>
                      <w:color w:val="000000"/>
                    </w:rPr>
                    <w:t>65mm</w:t>
                  </w:r>
                </w:p>
                <w:p>
                  <w:pPr>
                    <w:pStyle w:val="null3"/>
                  </w:pPr>
                  <w:r>
                    <w:rPr>
                      <w:rFonts w:ascii="仿宋_GB2312" w:hAnsi="仿宋_GB2312" w:cs="仿宋_GB2312" w:eastAsia="仿宋_GB2312"/>
                      <w:sz w:val="24"/>
                      <w:color w:val="000000"/>
                    </w:rPr>
                    <w:t>14</w:t>
                  </w:r>
                  <w:r>
                    <w:rPr>
                      <w:rFonts w:ascii="仿宋_GB2312" w:hAnsi="仿宋_GB2312" w:cs="仿宋_GB2312" w:eastAsia="仿宋_GB2312"/>
                      <w:sz w:val="24"/>
                      <w:color w:val="000000"/>
                    </w:rPr>
                    <w:t>）仓储场景：三层阶梯式模块化结构，规格尺寸：≥200*160*130mm；</w:t>
                  </w:r>
                </w:p>
                <w:p>
                  <w:pPr>
                    <w:pStyle w:val="null3"/>
                  </w:pPr>
                  <w:r>
                    <w:rPr>
                      <w:rFonts w:ascii="仿宋_GB2312" w:hAnsi="仿宋_GB2312" w:cs="仿宋_GB2312" w:eastAsia="仿宋_GB2312"/>
                      <w:sz w:val="24"/>
                      <w:color w:val="000000"/>
                    </w:rPr>
                    <w:t>15</w:t>
                  </w:r>
                  <w:r>
                    <w:rPr>
                      <w:rFonts w:ascii="仿宋_GB2312" w:hAnsi="仿宋_GB2312" w:cs="仿宋_GB2312" w:eastAsia="仿宋_GB2312"/>
                      <w:sz w:val="24"/>
                      <w:color w:val="000000"/>
                    </w:rPr>
                    <w:t>）运输场景：规格尺寸：≥200*160*130mm；速度范围：0 ~1500mm/s</w:t>
                  </w:r>
                </w:p>
                <w:p>
                  <w:pPr>
                    <w:pStyle w:val="null3"/>
                  </w:pPr>
                  <w:r>
                    <w:rPr>
                      <w:rFonts w:ascii="仿宋_GB2312" w:hAnsi="仿宋_GB2312" w:cs="仿宋_GB2312" w:eastAsia="仿宋_GB2312"/>
                      <w:sz w:val="24"/>
                      <w:b/>
                      <w:color w:val="000000"/>
                    </w:rPr>
                    <w:t xml:space="preserve">1.2 </w:t>
                  </w:r>
                  <w:r>
                    <w:rPr>
                      <w:rFonts w:ascii="仿宋_GB2312" w:hAnsi="仿宋_GB2312" w:cs="仿宋_GB2312" w:eastAsia="仿宋_GB2312"/>
                      <w:sz w:val="24"/>
                      <w:b/>
                      <w:color w:val="000000"/>
                    </w:rPr>
                    <w:t>视觉检测模块</w:t>
                  </w:r>
                </w:p>
                <w:p>
                  <w:pPr>
                    <w:pStyle w:val="null3"/>
                  </w:pPr>
                  <w:r>
                    <w:rPr>
                      <w:rFonts w:ascii="仿宋_GB2312" w:hAnsi="仿宋_GB2312" w:cs="仿宋_GB2312" w:eastAsia="仿宋_GB2312"/>
                      <w:sz w:val="24"/>
                      <w:color w:val="000000"/>
                    </w:rPr>
                    <w:t>1)</w:t>
                  </w:r>
                  <w:r>
                    <w:rPr>
                      <w:rFonts w:ascii="仿宋_GB2312" w:hAnsi="仿宋_GB2312" w:cs="仿宋_GB2312" w:eastAsia="仿宋_GB2312"/>
                      <w:sz w:val="24"/>
                      <w:color w:val="000000"/>
                    </w:rPr>
                    <w:t>传感器类型：CMOS</w:t>
                  </w:r>
                </w:p>
                <w:p>
                  <w:pPr>
                    <w:pStyle w:val="null3"/>
                  </w:pPr>
                  <w:r>
                    <w:rPr>
                      <w:rFonts w:ascii="仿宋_GB2312" w:hAnsi="仿宋_GB2312" w:cs="仿宋_GB2312" w:eastAsia="仿宋_GB2312"/>
                      <w:sz w:val="24"/>
                      <w:color w:val="000000"/>
                    </w:rPr>
                    <w:t>2)像元尺寸：≤2.2µm×2.2µm</w:t>
                  </w:r>
                </w:p>
                <w:p>
                  <w:pPr>
                    <w:pStyle w:val="null3"/>
                  </w:pPr>
                  <w:r>
                    <w:rPr>
                      <w:rFonts w:ascii="仿宋_GB2312" w:hAnsi="仿宋_GB2312" w:cs="仿宋_GB2312" w:eastAsia="仿宋_GB2312"/>
                      <w:sz w:val="24"/>
                      <w:color w:val="000000"/>
                    </w:rPr>
                    <w:t>3)靶面尺寸：≥1/2.5"</w:t>
                  </w:r>
                </w:p>
                <w:p>
                  <w:pPr>
                    <w:pStyle w:val="null3"/>
                  </w:pPr>
                  <w:r>
                    <w:rPr>
                      <w:rFonts w:ascii="仿宋_GB2312" w:hAnsi="仿宋_GB2312" w:cs="仿宋_GB2312" w:eastAsia="仿宋_GB2312"/>
                      <w:sz w:val="24"/>
                      <w:color w:val="000000"/>
                    </w:rPr>
                    <w:t>4)像素：≥500万像素</w:t>
                  </w:r>
                </w:p>
                <w:p>
                  <w:pPr>
                    <w:pStyle w:val="null3"/>
                  </w:pPr>
                  <w:r>
                    <w:rPr>
                      <w:rFonts w:ascii="仿宋_GB2312" w:hAnsi="仿宋_GB2312" w:cs="仿宋_GB2312" w:eastAsia="仿宋_GB2312"/>
                      <w:sz w:val="24"/>
                      <w:color w:val="000000"/>
                    </w:rPr>
                    <w:t>5)</w:t>
                  </w:r>
                  <w:r>
                    <w:rPr>
                      <w:rFonts w:ascii="仿宋_GB2312" w:hAnsi="仿宋_GB2312" w:cs="仿宋_GB2312" w:eastAsia="仿宋_GB2312"/>
                      <w:sz w:val="24"/>
                      <w:color w:val="000000"/>
                    </w:rPr>
                    <w:t>分辨率：≥2500×1900</w:t>
                  </w:r>
                </w:p>
                <w:p>
                  <w:pPr>
                    <w:pStyle w:val="null3"/>
                  </w:pPr>
                  <w:r>
                    <w:rPr>
                      <w:rFonts w:ascii="仿宋_GB2312" w:hAnsi="仿宋_GB2312" w:cs="仿宋_GB2312" w:eastAsia="仿宋_GB2312"/>
                      <w:sz w:val="24"/>
                      <w:color w:val="000000"/>
                    </w:rPr>
                    <w:t>6)</w:t>
                  </w:r>
                  <w:r>
                    <w:rPr>
                      <w:rFonts w:ascii="仿宋_GB2312" w:hAnsi="仿宋_GB2312" w:cs="仿宋_GB2312" w:eastAsia="仿宋_GB2312"/>
                      <w:sz w:val="24"/>
                      <w:color w:val="000000"/>
                    </w:rPr>
                    <w:t>采集帧率范围：0-24 fps</w:t>
                  </w:r>
                </w:p>
                <w:p>
                  <w:pPr>
                    <w:pStyle w:val="null3"/>
                  </w:pPr>
                  <w:r>
                    <w:rPr>
                      <w:rFonts w:ascii="仿宋_GB2312" w:hAnsi="仿宋_GB2312" w:cs="仿宋_GB2312" w:eastAsia="仿宋_GB2312"/>
                      <w:sz w:val="24"/>
                      <w:color w:val="000000"/>
                    </w:rPr>
                    <w:t>7)</w:t>
                  </w:r>
                  <w:r>
                    <w:rPr>
                      <w:rFonts w:ascii="仿宋_GB2312" w:hAnsi="仿宋_GB2312" w:cs="仿宋_GB2312" w:eastAsia="仿宋_GB2312"/>
                      <w:sz w:val="24"/>
                      <w:color w:val="000000"/>
                    </w:rPr>
                    <w:t>镜头：12mm</w:t>
                  </w:r>
                </w:p>
                <w:p>
                  <w:pPr>
                    <w:pStyle w:val="null3"/>
                  </w:pPr>
                  <w:r>
                    <w:rPr>
                      <w:rFonts w:ascii="仿宋_GB2312" w:hAnsi="仿宋_GB2312" w:cs="仿宋_GB2312" w:eastAsia="仿宋_GB2312"/>
                      <w:sz w:val="24"/>
                      <w:color w:val="000000"/>
                    </w:rPr>
                    <w:t>8)</w:t>
                  </w:r>
                  <w:r>
                    <w:rPr>
                      <w:rFonts w:ascii="仿宋_GB2312" w:hAnsi="仿宋_GB2312" w:cs="仿宋_GB2312" w:eastAsia="仿宋_GB2312"/>
                      <w:sz w:val="24"/>
                      <w:color w:val="000000"/>
                    </w:rPr>
                    <w:t>色彩类型：黑白</w:t>
                  </w:r>
                </w:p>
                <w:p>
                  <w:pPr>
                    <w:pStyle w:val="null3"/>
                  </w:pPr>
                  <w:r>
                    <w:rPr>
                      <w:rFonts w:ascii="仿宋_GB2312" w:hAnsi="仿宋_GB2312" w:cs="仿宋_GB2312" w:eastAsia="仿宋_GB2312"/>
                      <w:sz w:val="24"/>
                      <w:color w:val="000000"/>
                    </w:rPr>
                    <w:t>9)通信：支持TCP、ModBusTCP、Socket等多种通讯模式</w:t>
                  </w:r>
                </w:p>
                <w:p>
                  <w:pPr>
                    <w:pStyle w:val="null3"/>
                  </w:pPr>
                  <w:r>
                    <w:rPr>
                      <w:rFonts w:ascii="仿宋_GB2312" w:hAnsi="仿宋_GB2312" w:cs="仿宋_GB2312" w:eastAsia="仿宋_GB2312"/>
                      <w:sz w:val="24"/>
                      <w:b/>
                      <w:color w:val="000000"/>
                    </w:rPr>
                    <w:t>1.3 控制器模块：</w:t>
                  </w:r>
                </w:p>
                <w:p>
                  <w:pPr>
                    <w:pStyle w:val="null3"/>
                  </w:pPr>
                  <w:r>
                    <w:rPr>
                      <w:rFonts w:ascii="仿宋_GB2312" w:hAnsi="仿宋_GB2312" w:cs="仿宋_GB2312" w:eastAsia="仿宋_GB2312"/>
                      <w:sz w:val="24"/>
                      <w:color w:val="000000"/>
                    </w:rPr>
                    <w:t>1）程序数据容量：≥100KB；</w:t>
                  </w:r>
                </w:p>
                <w:p>
                  <w:pPr>
                    <w:pStyle w:val="null3"/>
                  </w:pPr>
                  <w:r>
                    <w:rPr>
                      <w:rFonts w:ascii="仿宋_GB2312" w:hAnsi="仿宋_GB2312" w:cs="仿宋_GB2312" w:eastAsia="仿宋_GB2312"/>
                      <w:sz w:val="24"/>
                      <w:color w:val="000000"/>
                    </w:rPr>
                    <w:t>2）保持性存储器：≥128KB；</w:t>
                  </w:r>
                </w:p>
                <w:p>
                  <w:pPr>
                    <w:pStyle w:val="null3"/>
                  </w:pPr>
                  <w:r>
                    <w:rPr>
                      <w:rFonts w:ascii="仿宋_GB2312" w:hAnsi="仿宋_GB2312" w:cs="仿宋_GB2312" w:eastAsia="仿宋_GB2312"/>
                      <w:sz w:val="24"/>
                      <w:color w:val="000000"/>
                    </w:rPr>
                    <w:t>3</w:t>
                  </w:r>
                  <w:r>
                    <w:rPr>
                      <w:rFonts w:ascii="仿宋_GB2312" w:hAnsi="仿宋_GB2312" w:cs="仿宋_GB2312" w:eastAsia="仿宋_GB2312"/>
                      <w:sz w:val="24"/>
                      <w:color w:val="000000"/>
                    </w:rPr>
                    <w:t>）数字量：≥8DI/8DO；</w:t>
                  </w:r>
                </w:p>
                <w:p>
                  <w:pPr>
                    <w:pStyle w:val="null3"/>
                  </w:pPr>
                  <w:r>
                    <w:rPr>
                      <w:rFonts w:ascii="仿宋_GB2312" w:hAnsi="仿宋_GB2312" w:cs="仿宋_GB2312" w:eastAsia="仿宋_GB2312"/>
                      <w:sz w:val="24"/>
                      <w:color w:val="000000"/>
                    </w:rPr>
                    <w:t>4</w:t>
                  </w:r>
                  <w:r>
                    <w:rPr>
                      <w:rFonts w:ascii="仿宋_GB2312" w:hAnsi="仿宋_GB2312" w:cs="仿宋_GB2312" w:eastAsia="仿宋_GB2312"/>
                      <w:sz w:val="24"/>
                      <w:color w:val="000000"/>
                    </w:rPr>
                    <w:t>）高速计数器：≥4路；</w:t>
                  </w:r>
                </w:p>
                <w:p>
                  <w:pPr>
                    <w:pStyle w:val="null3"/>
                  </w:pPr>
                  <w:r>
                    <w:rPr>
                      <w:rFonts w:ascii="仿宋_GB2312" w:hAnsi="仿宋_GB2312" w:cs="仿宋_GB2312" w:eastAsia="仿宋_GB2312"/>
                      <w:sz w:val="24"/>
                      <w:color w:val="000000"/>
                    </w:rPr>
                    <w:t>5</w:t>
                  </w:r>
                  <w:r>
                    <w:rPr>
                      <w:rFonts w:ascii="仿宋_GB2312" w:hAnsi="仿宋_GB2312" w:cs="仿宋_GB2312" w:eastAsia="仿宋_GB2312"/>
                      <w:sz w:val="24"/>
                      <w:color w:val="000000"/>
                    </w:rPr>
                    <w:t>）脉冲输出：≥4路；</w:t>
                  </w:r>
                </w:p>
                <w:p>
                  <w:pPr>
                    <w:pStyle w:val="null3"/>
                  </w:pPr>
                  <w:r>
                    <w:rPr>
                      <w:rFonts w:ascii="仿宋_GB2312" w:hAnsi="仿宋_GB2312" w:cs="仿宋_GB2312" w:eastAsia="仿宋_GB2312"/>
                      <w:sz w:val="24"/>
                      <w:color w:val="000000"/>
                    </w:rPr>
                    <w:t>6</w:t>
                  </w:r>
                  <w:r>
                    <w:rPr>
                      <w:rFonts w:ascii="仿宋_GB2312" w:hAnsi="仿宋_GB2312" w:cs="仿宋_GB2312" w:eastAsia="仿宋_GB2312"/>
                      <w:sz w:val="24"/>
                      <w:color w:val="000000"/>
                    </w:rPr>
                    <w:t>）以太网端口数：≥2个</w:t>
                  </w:r>
                </w:p>
                <w:p>
                  <w:pPr>
                    <w:pStyle w:val="null3"/>
                  </w:pPr>
                  <w:r>
                    <w:rPr>
                      <w:rFonts w:ascii="仿宋_GB2312" w:hAnsi="仿宋_GB2312" w:cs="仿宋_GB2312" w:eastAsia="仿宋_GB2312"/>
                      <w:sz w:val="24"/>
                      <w:color w:val="000000"/>
                    </w:rPr>
                    <w:t>7）通信协议支持：PROFINET或EtherCat、TCP/IP、UDP、MODBUS、EtherNet/IP、OPC UA等通信协议；</w:t>
                  </w:r>
                </w:p>
                <w:p>
                  <w:pPr>
                    <w:pStyle w:val="null3"/>
                  </w:pPr>
                  <w:r>
                    <w:rPr>
                      <w:rFonts w:ascii="仿宋_GB2312" w:hAnsi="仿宋_GB2312" w:cs="仿宋_GB2312" w:eastAsia="仿宋_GB2312"/>
                      <w:sz w:val="24"/>
                      <w:color w:val="000000"/>
                    </w:rPr>
                    <w:t>8</w:t>
                  </w:r>
                  <w:r>
                    <w:rPr>
                      <w:rFonts w:ascii="仿宋_GB2312" w:hAnsi="仿宋_GB2312" w:cs="仿宋_GB2312" w:eastAsia="仿宋_GB2312"/>
                      <w:sz w:val="24"/>
                      <w:color w:val="000000"/>
                    </w:rPr>
                    <w:t>）数据传输率：≥100Mb/s。</w:t>
                  </w:r>
                </w:p>
                <w:p>
                  <w:pPr>
                    <w:pStyle w:val="null3"/>
                  </w:pPr>
                  <w:r>
                    <w:rPr>
                      <w:rFonts w:ascii="仿宋_GB2312" w:hAnsi="仿宋_GB2312" w:cs="仿宋_GB2312" w:eastAsia="仿宋_GB2312"/>
                      <w:sz w:val="24"/>
                      <w:color w:val="000000"/>
                    </w:rPr>
                    <w:t>9)</w:t>
                  </w:r>
                  <w:r>
                    <w:rPr>
                      <w:rFonts w:ascii="仿宋_GB2312" w:hAnsi="仿宋_GB2312" w:cs="仿宋_GB2312" w:eastAsia="仿宋_GB2312"/>
                      <w:sz w:val="24"/>
                      <w:color w:val="000000"/>
                    </w:rPr>
                    <w:t>控制器终端：CPU: I5及以上，内存容量：≥8GB，硬盘容量：≥128GB，配备显示器≥17寸</w:t>
                  </w:r>
                </w:p>
                <w:p>
                  <w:pPr>
                    <w:pStyle w:val="null3"/>
                  </w:pPr>
                  <w:r>
                    <w:rPr>
                      <w:rFonts w:ascii="仿宋_GB2312" w:hAnsi="仿宋_GB2312" w:cs="仿宋_GB2312" w:eastAsia="仿宋_GB2312"/>
                      <w:sz w:val="24"/>
                      <w:color w:val="000000"/>
                    </w:rPr>
                    <w:t>10</w:t>
                  </w:r>
                  <w:r>
                    <w:rPr>
                      <w:rFonts w:ascii="仿宋_GB2312" w:hAnsi="仿宋_GB2312" w:cs="仿宋_GB2312" w:eastAsia="仿宋_GB2312"/>
                      <w:sz w:val="24"/>
                      <w:color w:val="000000"/>
                    </w:rPr>
                    <w:t>）运动控制卡：数字量≥DI16/DO16，光耦隔离；脉冲输出≥4路。</w:t>
                  </w:r>
                </w:p>
                <w:p>
                  <w:pPr>
                    <w:pStyle w:val="null3"/>
                  </w:pPr>
                  <w:r>
                    <w:rPr>
                      <w:rFonts w:ascii="仿宋_GB2312" w:hAnsi="仿宋_GB2312" w:cs="仿宋_GB2312" w:eastAsia="仿宋_GB2312"/>
                      <w:sz w:val="24"/>
                      <w:b/>
                      <w:color w:val="000000"/>
                    </w:rPr>
                    <w:t xml:space="preserve">1.4 </w:t>
                  </w:r>
                  <w:r>
                    <w:rPr>
                      <w:rFonts w:ascii="仿宋_GB2312" w:hAnsi="仿宋_GB2312" w:cs="仿宋_GB2312" w:eastAsia="仿宋_GB2312"/>
                      <w:sz w:val="24"/>
                      <w:b/>
                      <w:color w:val="000000"/>
                    </w:rPr>
                    <w:t>总控模块</w:t>
                  </w:r>
                </w:p>
                <w:p>
                  <w:pPr>
                    <w:pStyle w:val="null3"/>
                  </w:pPr>
                  <w:r>
                    <w:rPr>
                      <w:rFonts w:ascii="仿宋_GB2312" w:hAnsi="仿宋_GB2312" w:cs="仿宋_GB2312" w:eastAsia="仿宋_GB2312"/>
                      <w:sz w:val="24"/>
                      <w:color w:val="000000"/>
                    </w:rPr>
                    <w:t>1</w:t>
                  </w:r>
                  <w:r>
                    <w:rPr>
                      <w:rFonts w:ascii="仿宋_GB2312" w:hAnsi="仿宋_GB2312" w:cs="仿宋_GB2312" w:eastAsia="仿宋_GB2312"/>
                      <w:sz w:val="24"/>
                      <w:color w:val="000000"/>
                    </w:rPr>
                    <w:t>）对空间运动多功能臂基础应用实践任务进行总体管理；</w:t>
                  </w:r>
                </w:p>
                <w:p>
                  <w:pPr>
                    <w:pStyle w:val="null3"/>
                  </w:pPr>
                  <w:r>
                    <w:rPr>
                      <w:rFonts w:ascii="仿宋_GB2312" w:hAnsi="仿宋_GB2312" w:cs="仿宋_GB2312" w:eastAsia="仿宋_GB2312"/>
                      <w:sz w:val="24"/>
                      <w:color w:val="000000"/>
                    </w:rPr>
                    <w:t>2</w:t>
                  </w:r>
                  <w:r>
                    <w:rPr>
                      <w:rFonts w:ascii="仿宋_GB2312" w:hAnsi="仿宋_GB2312" w:cs="仿宋_GB2312" w:eastAsia="仿宋_GB2312"/>
                      <w:sz w:val="24"/>
                      <w:color w:val="000000"/>
                    </w:rPr>
                    <w:t>）对于实践过程进行全流程监控，具备异常处理功能，具备数据分析功能；</w:t>
                  </w:r>
                </w:p>
                <w:p>
                  <w:pPr>
                    <w:pStyle w:val="null3"/>
                  </w:pPr>
                  <w:r>
                    <w:rPr>
                      <w:rFonts w:ascii="仿宋_GB2312" w:hAnsi="仿宋_GB2312" w:cs="仿宋_GB2312" w:eastAsia="仿宋_GB2312"/>
                      <w:sz w:val="24"/>
                      <w:color w:val="000000"/>
                    </w:rPr>
                    <w:t>3</w:t>
                  </w:r>
                  <w:r>
                    <w:rPr>
                      <w:rFonts w:ascii="仿宋_GB2312" w:hAnsi="仿宋_GB2312" w:cs="仿宋_GB2312" w:eastAsia="仿宋_GB2312"/>
                      <w:sz w:val="24"/>
                      <w:color w:val="000000"/>
                    </w:rPr>
                    <w:t>）具备开放性接口。</w:t>
                  </w:r>
                </w:p>
                <w:p>
                  <w:pPr>
                    <w:pStyle w:val="null3"/>
                  </w:pPr>
                  <w:r>
                    <w:rPr>
                      <w:rFonts w:ascii="仿宋_GB2312" w:hAnsi="仿宋_GB2312" w:cs="仿宋_GB2312" w:eastAsia="仿宋_GB2312"/>
                      <w:sz w:val="24"/>
                      <w:color w:val="000000"/>
                    </w:rPr>
                    <w:t>4</w:t>
                  </w:r>
                  <w:r>
                    <w:rPr>
                      <w:rFonts w:ascii="仿宋_GB2312" w:hAnsi="仿宋_GB2312" w:cs="仿宋_GB2312" w:eastAsia="仿宋_GB2312"/>
                      <w:sz w:val="24"/>
                      <w:color w:val="000000"/>
                    </w:rPr>
                    <w:t>）配备空间运动多功能集成系统，可直接开发基于运动控制卡的运动控制类项目。至少支持三类运动产业主流运动控制卡的集成，功能包括轴参数配置、逻辑流程配置、JOG运动。</w:t>
                  </w:r>
                </w:p>
                <w:p>
                  <w:pPr>
                    <w:pStyle w:val="null3"/>
                  </w:pPr>
                  <w:r>
                    <w:rPr>
                      <w:rFonts w:ascii="仿宋_GB2312" w:hAnsi="仿宋_GB2312" w:cs="仿宋_GB2312" w:eastAsia="仿宋_GB2312"/>
                      <w:sz w:val="24"/>
                      <w:color w:val="000000"/>
                    </w:rPr>
                    <w:t>5</w:t>
                  </w:r>
                  <w:r>
                    <w:rPr>
                      <w:rFonts w:ascii="仿宋_GB2312" w:hAnsi="仿宋_GB2312" w:cs="仿宋_GB2312" w:eastAsia="仿宋_GB2312"/>
                      <w:sz w:val="24"/>
                      <w:color w:val="000000"/>
                    </w:rPr>
                    <w:t>）系统可直接开发基于运动控制和工业视觉的精确组装类项目。至少支持不少于两款主流视觉软件的集成应用，功能包括软件调用、视觉开发、运动控制的补偿交互、数据处理等。</w:t>
                  </w:r>
                </w:p>
                <w:p>
                  <w:pPr>
                    <w:pStyle w:val="null3"/>
                  </w:pPr>
                  <w:r>
                    <w:rPr>
                      <w:rFonts w:ascii="仿宋_GB2312" w:hAnsi="仿宋_GB2312" w:cs="仿宋_GB2312" w:eastAsia="仿宋_GB2312"/>
                      <w:sz w:val="24"/>
                      <w:color w:val="000000"/>
                    </w:rPr>
                    <w:t>6</w:t>
                  </w:r>
                  <w:r>
                    <w:rPr>
                      <w:rFonts w:ascii="仿宋_GB2312" w:hAnsi="仿宋_GB2312" w:cs="仿宋_GB2312" w:eastAsia="仿宋_GB2312"/>
                      <w:sz w:val="24"/>
                      <w:color w:val="000000"/>
                    </w:rPr>
                    <w:t>）工业软件应用系统可集成PLC控制系统完成整体逻辑控制，系统集成功能包含以下内容：可实现硬件控制、图像处理和数据统计应用方式。设备硬件控制包括2D相机应用控制、3D相机应用控制、PLC应用控制、运动控制卡应用控制、通讯控制、光源应用控制。支持不低于两种主流PLC的交互设置以及不少于工业相机和智能相机两种视觉相机的交互设置，能够提供完整的基于运动控制和视觉一体化的集成项目界面。</w:t>
                  </w:r>
                </w:p>
                <w:p>
                  <w:pPr>
                    <w:pStyle w:val="null3"/>
                  </w:pPr>
                  <w:r>
                    <w:rPr>
                      <w:rFonts w:ascii="仿宋_GB2312" w:hAnsi="仿宋_GB2312" w:cs="仿宋_GB2312" w:eastAsia="仿宋_GB2312"/>
                      <w:sz w:val="24"/>
                      <w:color w:val="000000"/>
                    </w:rPr>
                    <w:t>7</w:t>
                  </w:r>
                  <w:r>
                    <w:rPr>
                      <w:rFonts w:ascii="仿宋_GB2312" w:hAnsi="仿宋_GB2312" w:cs="仿宋_GB2312" w:eastAsia="仿宋_GB2312"/>
                      <w:sz w:val="24"/>
                      <w:color w:val="000000"/>
                    </w:rPr>
                    <w:t>）系统支持流程化编程，即使用低代码编程，使用现有的集成式代码包完成编程，同时脚本二次开发可以基于VB.net、C#多种语言的编程和开发。</w:t>
                  </w:r>
                </w:p>
                <w:p>
                  <w:pPr>
                    <w:pStyle w:val="null3"/>
                  </w:pPr>
                  <w:r>
                    <w:rPr>
                      <w:rFonts w:ascii="仿宋_GB2312" w:hAnsi="仿宋_GB2312" w:cs="仿宋_GB2312" w:eastAsia="仿宋_GB2312"/>
                      <w:sz w:val="24"/>
                      <w:color w:val="000000"/>
                    </w:rPr>
                    <w:t>（以上1)~7)提供相关佐证材料）</w:t>
                  </w:r>
                </w:p>
                <w:p>
                  <w:pPr>
                    <w:pStyle w:val="null3"/>
                  </w:pPr>
                  <w:r>
                    <w:rPr>
                      <w:rFonts w:ascii="仿宋_GB2312" w:hAnsi="仿宋_GB2312" w:cs="仿宋_GB2312" w:eastAsia="仿宋_GB2312"/>
                      <w:sz w:val="24"/>
                      <w:b/>
                      <w:color w:val="000000"/>
                    </w:rPr>
                    <w:t xml:space="preserve">2 </w:t>
                  </w:r>
                  <w:r>
                    <w:rPr>
                      <w:rFonts w:ascii="仿宋_GB2312" w:hAnsi="仿宋_GB2312" w:cs="仿宋_GB2312" w:eastAsia="仿宋_GB2312"/>
                      <w:sz w:val="24"/>
                      <w:b/>
                      <w:color w:val="000000"/>
                    </w:rPr>
                    <w:t>移动式平台</w:t>
                  </w:r>
                </w:p>
                <w:p>
                  <w:pPr>
                    <w:pStyle w:val="null3"/>
                  </w:pPr>
                  <w:r>
                    <w:rPr>
                      <w:rFonts w:ascii="仿宋_GB2312" w:hAnsi="仿宋_GB2312" w:cs="仿宋_GB2312" w:eastAsia="仿宋_GB2312"/>
                      <w:sz w:val="24"/>
                      <w:b/>
                      <w:color w:val="000000"/>
                    </w:rPr>
                    <w:t xml:space="preserve">2.1 </w:t>
                  </w:r>
                  <w:r>
                    <w:rPr>
                      <w:rFonts w:ascii="仿宋_GB2312" w:hAnsi="仿宋_GB2312" w:cs="仿宋_GB2312" w:eastAsia="仿宋_GB2312"/>
                      <w:sz w:val="24"/>
                      <w:b/>
                      <w:color w:val="000000"/>
                    </w:rPr>
                    <w:t>运动控制参数</w:t>
                  </w:r>
                </w:p>
                <w:p>
                  <w:pPr>
                    <w:pStyle w:val="null3"/>
                  </w:pPr>
                  <w:r>
                    <w:rPr>
                      <w:rFonts w:ascii="仿宋_GB2312" w:hAnsi="仿宋_GB2312" w:cs="仿宋_GB2312" w:eastAsia="仿宋_GB2312"/>
                      <w:sz w:val="24"/>
                      <w:color w:val="000000"/>
                    </w:rPr>
                    <w:t>1) AGV</w:t>
                  </w:r>
                  <w:r>
                    <w:rPr>
                      <w:rFonts w:ascii="仿宋_GB2312" w:hAnsi="仿宋_GB2312" w:cs="仿宋_GB2312" w:eastAsia="仿宋_GB2312"/>
                      <w:sz w:val="24"/>
                      <w:color w:val="000000"/>
                    </w:rPr>
                    <w:t>标准运动速度≥0.2m/s</w:t>
                  </w:r>
                </w:p>
                <w:p>
                  <w:pPr>
                    <w:pStyle w:val="null3"/>
                  </w:pPr>
                  <w:r>
                    <w:rPr>
                      <w:rFonts w:ascii="仿宋_GB2312" w:hAnsi="仿宋_GB2312" w:cs="仿宋_GB2312" w:eastAsia="仿宋_GB2312"/>
                      <w:sz w:val="24"/>
                      <w:color w:val="000000"/>
                    </w:rPr>
                    <w:t>2) AGV</w:t>
                  </w:r>
                  <w:r>
                    <w:rPr>
                      <w:rFonts w:ascii="仿宋_GB2312" w:hAnsi="仿宋_GB2312" w:cs="仿宋_GB2312" w:eastAsia="仿宋_GB2312"/>
                      <w:sz w:val="24"/>
                      <w:color w:val="000000"/>
                    </w:rPr>
                    <w:t>可实现最大爬坡角度≥ 10°</w:t>
                  </w:r>
                </w:p>
                <w:p>
                  <w:pPr>
                    <w:pStyle w:val="null3"/>
                  </w:pPr>
                  <w:r>
                    <w:rPr>
                      <w:rFonts w:ascii="仿宋_GB2312" w:hAnsi="仿宋_GB2312" w:cs="仿宋_GB2312" w:eastAsia="仿宋_GB2312"/>
                      <w:sz w:val="24"/>
                      <w:color w:val="000000"/>
                    </w:rPr>
                    <w:t>3) AGV</w:t>
                  </w:r>
                  <w:r>
                    <w:rPr>
                      <w:rFonts w:ascii="仿宋_GB2312" w:hAnsi="仿宋_GB2312" w:cs="仿宋_GB2312" w:eastAsia="仿宋_GB2312"/>
                      <w:sz w:val="24"/>
                      <w:color w:val="000000"/>
                    </w:rPr>
                    <w:t>续航能力：空载连续不停行走，且续航时间大于 ≥1.5 小时，速度范围：0mm/s~1000mm/s</w:t>
                  </w:r>
                </w:p>
                <w:p>
                  <w:pPr>
                    <w:pStyle w:val="null3"/>
                  </w:pPr>
                  <w:r>
                    <w:rPr>
                      <w:rFonts w:ascii="仿宋_GB2312" w:hAnsi="仿宋_GB2312" w:cs="仿宋_GB2312" w:eastAsia="仿宋_GB2312"/>
                      <w:sz w:val="24"/>
                      <w:b/>
                      <w:color w:val="000000"/>
                    </w:rPr>
                    <w:t xml:space="preserve">2.2 </w:t>
                  </w:r>
                  <w:r>
                    <w:rPr>
                      <w:rFonts w:ascii="仿宋_GB2312" w:hAnsi="仿宋_GB2312" w:cs="仿宋_GB2312" w:eastAsia="仿宋_GB2312"/>
                      <w:sz w:val="24"/>
                      <w:b/>
                      <w:color w:val="000000"/>
                    </w:rPr>
                    <w:t>智能感知模块</w:t>
                  </w:r>
                </w:p>
                <w:p>
                  <w:pPr>
                    <w:pStyle w:val="null3"/>
                  </w:pPr>
                  <w:r>
                    <w:rPr>
                      <w:rFonts w:ascii="仿宋_GB2312" w:hAnsi="仿宋_GB2312" w:cs="仿宋_GB2312" w:eastAsia="仿宋_GB2312"/>
                      <w:sz w:val="24"/>
                      <w:color w:val="000000"/>
                    </w:rPr>
                    <w:t>1</w:t>
                  </w:r>
                  <w:r>
                    <w:rPr>
                      <w:rFonts w:ascii="仿宋_GB2312" w:hAnsi="仿宋_GB2312" w:cs="仿宋_GB2312" w:eastAsia="仿宋_GB2312"/>
                      <w:sz w:val="24"/>
                      <w:color w:val="000000"/>
                    </w:rPr>
                    <w:t>）探测距离：0.3m-3.5m</w:t>
                  </w:r>
                </w:p>
                <w:p>
                  <w:pPr>
                    <w:pStyle w:val="null3"/>
                  </w:pPr>
                  <w:r>
                    <w:rPr>
                      <w:rFonts w:ascii="仿宋_GB2312" w:hAnsi="仿宋_GB2312" w:cs="仿宋_GB2312" w:eastAsia="仿宋_GB2312"/>
                      <w:sz w:val="24"/>
                      <w:color w:val="000000"/>
                    </w:rPr>
                    <w:t>2</w:t>
                  </w:r>
                  <w:r>
                    <w:rPr>
                      <w:rFonts w:ascii="仿宋_GB2312" w:hAnsi="仿宋_GB2312" w:cs="仿宋_GB2312" w:eastAsia="仿宋_GB2312"/>
                      <w:sz w:val="24"/>
                      <w:color w:val="000000"/>
                    </w:rPr>
                    <w:t>）视场：≥70°×50°；</w:t>
                  </w:r>
                </w:p>
                <w:p>
                  <w:pPr>
                    <w:pStyle w:val="null3"/>
                  </w:pPr>
                  <w:r>
                    <w:rPr>
                      <w:rFonts w:ascii="仿宋_GB2312" w:hAnsi="仿宋_GB2312" w:cs="仿宋_GB2312" w:eastAsia="仿宋_GB2312"/>
                      <w:sz w:val="24"/>
                      <w:color w:val="000000"/>
                    </w:rPr>
                    <w:t>3</w:t>
                  </w:r>
                  <w:r>
                    <w:rPr>
                      <w:rFonts w:ascii="仿宋_GB2312" w:hAnsi="仿宋_GB2312" w:cs="仿宋_GB2312" w:eastAsia="仿宋_GB2312"/>
                      <w:sz w:val="24"/>
                      <w:color w:val="000000"/>
                    </w:rPr>
                    <w:t>）支持 SDK或者API调用开发。</w:t>
                  </w:r>
                </w:p>
                <w:p>
                  <w:pPr>
                    <w:pStyle w:val="null3"/>
                  </w:pPr>
                  <w:r>
                    <w:rPr>
                      <w:rFonts w:ascii="仿宋_GB2312" w:hAnsi="仿宋_GB2312" w:cs="仿宋_GB2312" w:eastAsia="仿宋_GB2312"/>
                      <w:sz w:val="24"/>
                      <w:b/>
                      <w:color w:val="000000"/>
                    </w:rPr>
                    <w:t xml:space="preserve">3 </w:t>
                  </w:r>
                  <w:r>
                    <w:rPr>
                      <w:rFonts w:ascii="仿宋_GB2312" w:hAnsi="仿宋_GB2312" w:cs="仿宋_GB2312" w:eastAsia="仿宋_GB2312"/>
                      <w:sz w:val="24"/>
                      <w:b/>
                      <w:color w:val="000000"/>
                    </w:rPr>
                    <w:t>系统至少需支持如下23项实验，配设备使用说明书、实验指导书：</w:t>
                  </w:r>
                </w:p>
                <w:p>
                  <w:pPr>
                    <w:pStyle w:val="null3"/>
                  </w:pPr>
                  <w:r>
                    <w:rPr>
                      <w:rFonts w:ascii="仿宋_GB2312" w:hAnsi="仿宋_GB2312" w:cs="仿宋_GB2312" w:eastAsia="仿宋_GB2312"/>
                      <w:sz w:val="24"/>
                      <w:color w:val="000000"/>
                    </w:rPr>
                    <w:t>1)</w:t>
                  </w:r>
                  <w:r>
                    <w:rPr>
                      <w:rFonts w:ascii="仿宋_GB2312" w:hAnsi="仿宋_GB2312" w:cs="仿宋_GB2312" w:eastAsia="仿宋_GB2312"/>
                      <w:sz w:val="24"/>
                      <w:color w:val="000000"/>
                    </w:rPr>
                    <w:t>系统基本认知</w:t>
                  </w:r>
                </w:p>
                <w:p>
                  <w:pPr>
                    <w:pStyle w:val="null3"/>
                  </w:pPr>
                  <w:r>
                    <w:rPr>
                      <w:rFonts w:ascii="仿宋_GB2312" w:hAnsi="仿宋_GB2312" w:cs="仿宋_GB2312" w:eastAsia="仿宋_GB2312"/>
                      <w:sz w:val="24"/>
                      <w:color w:val="000000"/>
                    </w:rPr>
                    <w:t>2)</w:t>
                  </w:r>
                  <w:r>
                    <w:rPr>
                      <w:rFonts w:ascii="仿宋_GB2312" w:hAnsi="仿宋_GB2312" w:cs="仿宋_GB2312" w:eastAsia="仿宋_GB2312"/>
                      <w:sz w:val="24"/>
                      <w:color w:val="000000"/>
                    </w:rPr>
                    <w:t>系统设备功能</w:t>
                  </w:r>
                </w:p>
                <w:p>
                  <w:pPr>
                    <w:pStyle w:val="null3"/>
                  </w:pPr>
                  <w:r>
                    <w:rPr>
                      <w:rFonts w:ascii="仿宋_GB2312" w:hAnsi="仿宋_GB2312" w:cs="仿宋_GB2312" w:eastAsia="仿宋_GB2312"/>
                      <w:sz w:val="24"/>
                      <w:color w:val="000000"/>
                    </w:rPr>
                    <w:t>3)</w:t>
                  </w:r>
                  <w:r>
                    <w:rPr>
                      <w:rFonts w:ascii="仿宋_GB2312" w:hAnsi="仿宋_GB2312" w:cs="仿宋_GB2312" w:eastAsia="仿宋_GB2312"/>
                      <w:sz w:val="24"/>
                      <w:color w:val="000000"/>
                    </w:rPr>
                    <w:t>空间运动多功能臂示教盒的认知与基本操作</w:t>
                  </w:r>
                </w:p>
                <w:p>
                  <w:pPr>
                    <w:pStyle w:val="null3"/>
                  </w:pPr>
                  <w:r>
                    <w:rPr>
                      <w:rFonts w:ascii="仿宋_GB2312" w:hAnsi="仿宋_GB2312" w:cs="仿宋_GB2312" w:eastAsia="仿宋_GB2312"/>
                      <w:sz w:val="24"/>
                      <w:color w:val="000000"/>
                    </w:rPr>
                    <w:t>4)</w:t>
                  </w:r>
                  <w:r>
                    <w:rPr>
                      <w:rFonts w:ascii="仿宋_GB2312" w:hAnsi="仿宋_GB2312" w:cs="仿宋_GB2312" w:eastAsia="仿宋_GB2312"/>
                      <w:sz w:val="24"/>
                      <w:color w:val="000000"/>
                    </w:rPr>
                    <w:t>程序启动</w:t>
                  </w:r>
                </w:p>
                <w:p>
                  <w:pPr>
                    <w:pStyle w:val="null3"/>
                  </w:pPr>
                  <w:r>
                    <w:rPr>
                      <w:rFonts w:ascii="仿宋_GB2312" w:hAnsi="仿宋_GB2312" w:cs="仿宋_GB2312" w:eastAsia="仿宋_GB2312"/>
                      <w:sz w:val="24"/>
                      <w:color w:val="000000"/>
                    </w:rPr>
                    <w:t>5)</w:t>
                  </w:r>
                  <w:r>
                    <w:rPr>
                      <w:rFonts w:ascii="仿宋_GB2312" w:hAnsi="仿宋_GB2312" w:cs="仿宋_GB2312" w:eastAsia="仿宋_GB2312"/>
                      <w:sz w:val="24"/>
                      <w:color w:val="000000"/>
                    </w:rPr>
                    <w:t>程序常见问题处理</w:t>
                  </w:r>
                </w:p>
                <w:p>
                  <w:pPr>
                    <w:pStyle w:val="null3"/>
                  </w:pPr>
                  <w:r>
                    <w:rPr>
                      <w:rFonts w:ascii="仿宋_GB2312" w:hAnsi="仿宋_GB2312" w:cs="仿宋_GB2312" w:eastAsia="仿宋_GB2312"/>
                      <w:sz w:val="24"/>
                      <w:color w:val="000000"/>
                    </w:rPr>
                    <w:t>6)</w:t>
                  </w:r>
                  <w:r>
                    <w:rPr>
                      <w:rFonts w:ascii="仿宋_GB2312" w:hAnsi="仿宋_GB2312" w:cs="仿宋_GB2312" w:eastAsia="仿宋_GB2312"/>
                      <w:sz w:val="24"/>
                      <w:color w:val="000000"/>
                    </w:rPr>
                    <w:t>空间运动多功能臂手动操作</w:t>
                  </w:r>
                </w:p>
                <w:p>
                  <w:pPr>
                    <w:pStyle w:val="null3"/>
                  </w:pPr>
                  <w:r>
                    <w:rPr>
                      <w:rFonts w:ascii="仿宋_GB2312" w:hAnsi="仿宋_GB2312" w:cs="仿宋_GB2312" w:eastAsia="仿宋_GB2312"/>
                      <w:sz w:val="24"/>
                      <w:color w:val="000000"/>
                    </w:rPr>
                    <w:t>7)</w:t>
                  </w:r>
                  <w:r>
                    <w:rPr>
                      <w:rFonts w:ascii="仿宋_GB2312" w:hAnsi="仿宋_GB2312" w:cs="仿宋_GB2312" w:eastAsia="仿宋_GB2312"/>
                      <w:sz w:val="24"/>
                      <w:color w:val="000000"/>
                    </w:rPr>
                    <w:t>空间运动多功能臂基本指令认知</w:t>
                  </w:r>
                </w:p>
                <w:p>
                  <w:pPr>
                    <w:pStyle w:val="null3"/>
                  </w:pPr>
                  <w:r>
                    <w:rPr>
                      <w:rFonts w:ascii="仿宋_GB2312" w:hAnsi="仿宋_GB2312" w:cs="仿宋_GB2312" w:eastAsia="仿宋_GB2312"/>
                      <w:sz w:val="24"/>
                      <w:color w:val="000000"/>
                    </w:rPr>
                    <w:t>8)</w:t>
                  </w:r>
                  <w:r>
                    <w:rPr>
                      <w:rFonts w:ascii="仿宋_GB2312" w:hAnsi="仿宋_GB2312" w:cs="仿宋_GB2312" w:eastAsia="仿宋_GB2312"/>
                      <w:sz w:val="24"/>
                      <w:color w:val="000000"/>
                    </w:rPr>
                    <w:t>空间运动多功能臂坐标系建立</w:t>
                  </w:r>
                </w:p>
                <w:p>
                  <w:pPr>
                    <w:pStyle w:val="null3"/>
                  </w:pPr>
                  <w:r>
                    <w:rPr>
                      <w:rFonts w:ascii="仿宋_GB2312" w:hAnsi="仿宋_GB2312" w:cs="仿宋_GB2312" w:eastAsia="仿宋_GB2312"/>
                      <w:sz w:val="24"/>
                      <w:color w:val="000000"/>
                    </w:rPr>
                    <w:t>9)</w:t>
                  </w:r>
                  <w:r>
                    <w:rPr>
                      <w:rFonts w:ascii="仿宋_GB2312" w:hAnsi="仿宋_GB2312" w:cs="仿宋_GB2312" w:eastAsia="仿宋_GB2312"/>
                      <w:sz w:val="24"/>
                      <w:color w:val="000000"/>
                    </w:rPr>
                    <w:t>空间运动多功能臂指令编程</w:t>
                  </w:r>
                </w:p>
                <w:p>
                  <w:pPr>
                    <w:pStyle w:val="null3"/>
                  </w:pPr>
                  <w:r>
                    <w:rPr>
                      <w:rFonts w:ascii="仿宋_GB2312" w:hAnsi="仿宋_GB2312" w:cs="仿宋_GB2312" w:eastAsia="仿宋_GB2312"/>
                      <w:sz w:val="24"/>
                      <w:color w:val="000000"/>
                    </w:rPr>
                    <w:t>10)</w:t>
                  </w:r>
                  <w:r>
                    <w:rPr>
                      <w:rFonts w:ascii="仿宋_GB2312" w:hAnsi="仿宋_GB2312" w:cs="仿宋_GB2312" w:eastAsia="仿宋_GB2312"/>
                      <w:sz w:val="24"/>
                      <w:color w:val="000000"/>
                    </w:rPr>
                    <w:t>空间运动多功能臂应用编程</w:t>
                  </w:r>
                </w:p>
                <w:p>
                  <w:pPr>
                    <w:pStyle w:val="null3"/>
                  </w:pPr>
                  <w:r>
                    <w:rPr>
                      <w:rFonts w:ascii="仿宋_GB2312" w:hAnsi="仿宋_GB2312" w:cs="仿宋_GB2312" w:eastAsia="仿宋_GB2312"/>
                      <w:sz w:val="24"/>
                      <w:color w:val="000000"/>
                    </w:rPr>
                    <w:t>11)</w:t>
                  </w:r>
                  <w:r>
                    <w:rPr>
                      <w:rFonts w:ascii="仿宋_GB2312" w:hAnsi="仿宋_GB2312" w:cs="仿宋_GB2312" w:eastAsia="仿宋_GB2312"/>
                      <w:sz w:val="24"/>
                      <w:color w:val="000000"/>
                    </w:rPr>
                    <w:t>设备IP/名称设置</w:t>
                  </w:r>
                </w:p>
                <w:p>
                  <w:pPr>
                    <w:pStyle w:val="null3"/>
                  </w:pPr>
                  <w:r>
                    <w:rPr>
                      <w:rFonts w:ascii="仿宋_GB2312" w:hAnsi="仿宋_GB2312" w:cs="仿宋_GB2312" w:eastAsia="仿宋_GB2312"/>
                      <w:sz w:val="24"/>
                      <w:color w:val="000000"/>
                    </w:rPr>
                    <w:t>12)</w:t>
                  </w:r>
                  <w:r>
                    <w:rPr>
                      <w:rFonts w:ascii="仿宋_GB2312" w:hAnsi="仿宋_GB2312" w:cs="仿宋_GB2312" w:eastAsia="仿宋_GB2312"/>
                      <w:sz w:val="24"/>
                      <w:color w:val="000000"/>
                    </w:rPr>
                    <w:t>空间运动多功能臂的配线连接设置</w:t>
                  </w:r>
                </w:p>
                <w:p>
                  <w:pPr>
                    <w:pStyle w:val="null3"/>
                  </w:pPr>
                  <w:r>
                    <w:rPr>
                      <w:rFonts w:ascii="仿宋_GB2312" w:hAnsi="仿宋_GB2312" w:cs="仿宋_GB2312" w:eastAsia="仿宋_GB2312"/>
                      <w:sz w:val="24"/>
                      <w:color w:val="000000"/>
                    </w:rPr>
                    <w:t>13)</w:t>
                  </w:r>
                  <w:r>
                    <w:rPr>
                      <w:rFonts w:ascii="仿宋_GB2312" w:hAnsi="仿宋_GB2312" w:cs="仿宋_GB2312" w:eastAsia="仿宋_GB2312"/>
                      <w:sz w:val="24"/>
                      <w:color w:val="000000"/>
                    </w:rPr>
                    <w:t>空间运动多功能臂手动控制及基本参数设置</w:t>
                  </w:r>
                </w:p>
                <w:p>
                  <w:pPr>
                    <w:pStyle w:val="null3"/>
                  </w:pPr>
                  <w:r>
                    <w:rPr>
                      <w:rFonts w:ascii="仿宋_GB2312" w:hAnsi="仿宋_GB2312" w:cs="仿宋_GB2312" w:eastAsia="仿宋_GB2312"/>
                      <w:sz w:val="24"/>
                      <w:color w:val="000000"/>
                    </w:rPr>
                    <w:t>14)</w:t>
                  </w:r>
                  <w:r>
                    <w:rPr>
                      <w:rFonts w:ascii="仿宋_GB2312" w:hAnsi="仿宋_GB2312" w:cs="仿宋_GB2312" w:eastAsia="仿宋_GB2312"/>
                      <w:sz w:val="24"/>
                      <w:color w:val="000000"/>
                    </w:rPr>
                    <w:t>空间运动多功能臂本体与控制器之间的电气连接与调试</w:t>
                  </w:r>
                </w:p>
                <w:p>
                  <w:pPr>
                    <w:pStyle w:val="null3"/>
                  </w:pPr>
                  <w:r>
                    <w:rPr>
                      <w:rFonts w:ascii="仿宋_GB2312" w:hAnsi="仿宋_GB2312" w:cs="仿宋_GB2312" w:eastAsia="仿宋_GB2312"/>
                      <w:sz w:val="24"/>
                      <w:color w:val="000000"/>
                    </w:rPr>
                    <w:t>15)</w:t>
                  </w:r>
                  <w:r>
                    <w:rPr>
                      <w:rFonts w:ascii="仿宋_GB2312" w:hAnsi="仿宋_GB2312" w:cs="仿宋_GB2312" w:eastAsia="仿宋_GB2312"/>
                      <w:sz w:val="24"/>
                      <w:color w:val="000000"/>
                    </w:rPr>
                    <w:t>空间运动多功能臂工件坐标系参数标定及多坐标系切换</w:t>
                  </w:r>
                </w:p>
                <w:p>
                  <w:pPr>
                    <w:pStyle w:val="null3"/>
                  </w:pPr>
                  <w:r>
                    <w:rPr>
                      <w:rFonts w:ascii="仿宋_GB2312" w:hAnsi="仿宋_GB2312" w:cs="仿宋_GB2312" w:eastAsia="仿宋_GB2312"/>
                      <w:sz w:val="24"/>
                      <w:color w:val="000000"/>
                    </w:rPr>
                    <w:t>16)</w:t>
                  </w:r>
                  <w:r>
                    <w:rPr>
                      <w:rFonts w:ascii="仿宋_GB2312" w:hAnsi="仿宋_GB2312" w:cs="仿宋_GB2312" w:eastAsia="仿宋_GB2312"/>
                      <w:sz w:val="24"/>
                      <w:color w:val="000000"/>
                    </w:rPr>
                    <w:t>空间运动多功能臂通过示教器对工业机器人的运作过程调试</w:t>
                  </w:r>
                </w:p>
                <w:p>
                  <w:pPr>
                    <w:pStyle w:val="null3"/>
                  </w:pPr>
                  <w:r>
                    <w:rPr>
                      <w:rFonts w:ascii="仿宋_GB2312" w:hAnsi="仿宋_GB2312" w:cs="仿宋_GB2312" w:eastAsia="仿宋_GB2312"/>
                      <w:sz w:val="24"/>
                      <w:color w:val="000000"/>
                    </w:rPr>
                    <w:t>17)</w:t>
                  </w:r>
                  <w:r>
                    <w:rPr>
                      <w:rFonts w:ascii="仿宋_GB2312" w:hAnsi="仿宋_GB2312" w:cs="仿宋_GB2312" w:eastAsia="仿宋_GB2312"/>
                      <w:sz w:val="24"/>
                      <w:color w:val="000000"/>
                    </w:rPr>
                    <w:t>空间运动多功能臂装配技术</w:t>
                  </w:r>
                </w:p>
                <w:p>
                  <w:pPr>
                    <w:pStyle w:val="null3"/>
                  </w:pPr>
                  <w:r>
                    <w:rPr>
                      <w:rFonts w:ascii="仿宋_GB2312" w:hAnsi="仿宋_GB2312" w:cs="仿宋_GB2312" w:eastAsia="仿宋_GB2312"/>
                      <w:sz w:val="24"/>
                      <w:color w:val="000000"/>
                    </w:rPr>
                    <w:t>18)</w:t>
                  </w:r>
                  <w:r>
                    <w:rPr>
                      <w:rFonts w:ascii="仿宋_GB2312" w:hAnsi="仿宋_GB2312" w:cs="仿宋_GB2312" w:eastAsia="仿宋_GB2312"/>
                      <w:sz w:val="24"/>
                      <w:color w:val="000000"/>
                    </w:rPr>
                    <w:t>空间运动多功能臂搬运技术</w:t>
                  </w:r>
                </w:p>
                <w:p>
                  <w:pPr>
                    <w:pStyle w:val="null3"/>
                  </w:pPr>
                  <w:r>
                    <w:rPr>
                      <w:rFonts w:ascii="仿宋_GB2312" w:hAnsi="仿宋_GB2312" w:cs="仿宋_GB2312" w:eastAsia="仿宋_GB2312"/>
                      <w:sz w:val="24"/>
                      <w:color w:val="000000"/>
                    </w:rPr>
                    <w:t>19)</w:t>
                  </w:r>
                  <w:r>
                    <w:rPr>
                      <w:rFonts w:ascii="仿宋_GB2312" w:hAnsi="仿宋_GB2312" w:cs="仿宋_GB2312" w:eastAsia="仿宋_GB2312"/>
                      <w:sz w:val="24"/>
                      <w:color w:val="000000"/>
                    </w:rPr>
                    <w:t>空间运动多功能臂IO通信及PLC信息交互</w:t>
                  </w:r>
                </w:p>
                <w:p>
                  <w:pPr>
                    <w:pStyle w:val="null3"/>
                  </w:pPr>
                  <w:r>
                    <w:rPr>
                      <w:rFonts w:ascii="仿宋_GB2312" w:hAnsi="仿宋_GB2312" w:cs="仿宋_GB2312" w:eastAsia="仿宋_GB2312"/>
                      <w:sz w:val="24"/>
                      <w:color w:val="000000"/>
                    </w:rPr>
                    <w:t>20)</w:t>
                  </w:r>
                  <w:r>
                    <w:rPr>
                      <w:rFonts w:ascii="仿宋_GB2312" w:hAnsi="仿宋_GB2312" w:cs="仿宋_GB2312" w:eastAsia="仿宋_GB2312"/>
                      <w:sz w:val="24"/>
                      <w:color w:val="000000"/>
                    </w:rPr>
                    <w:t>空间运动多功能臂及周边设备的维护及典型错误排查</w:t>
                  </w:r>
                </w:p>
                <w:p>
                  <w:pPr>
                    <w:pStyle w:val="null3"/>
                  </w:pPr>
                  <w:r>
                    <w:rPr>
                      <w:rFonts w:ascii="仿宋_GB2312" w:hAnsi="仿宋_GB2312" w:cs="仿宋_GB2312" w:eastAsia="仿宋_GB2312"/>
                      <w:sz w:val="24"/>
                      <w:color w:val="000000"/>
                    </w:rPr>
                    <w:t>21)</w:t>
                  </w:r>
                  <w:r>
                    <w:rPr>
                      <w:rFonts w:ascii="仿宋_GB2312" w:hAnsi="仿宋_GB2312" w:cs="仿宋_GB2312" w:eastAsia="仿宋_GB2312"/>
                      <w:sz w:val="24"/>
                      <w:color w:val="000000"/>
                    </w:rPr>
                    <w:t>空间运动多功能臂PCB组装应用</w:t>
                  </w:r>
                </w:p>
                <w:p>
                  <w:pPr>
                    <w:pStyle w:val="null3"/>
                  </w:pPr>
                  <w:r>
                    <w:rPr>
                      <w:rFonts w:ascii="仿宋_GB2312" w:hAnsi="仿宋_GB2312" w:cs="仿宋_GB2312" w:eastAsia="仿宋_GB2312"/>
                      <w:sz w:val="24"/>
                      <w:color w:val="000000"/>
                    </w:rPr>
                    <w:t>22)</w:t>
                  </w:r>
                  <w:r>
                    <w:rPr>
                      <w:rFonts w:ascii="仿宋_GB2312" w:hAnsi="仿宋_GB2312" w:cs="仿宋_GB2312" w:eastAsia="仿宋_GB2312"/>
                      <w:sz w:val="24"/>
                      <w:color w:val="000000"/>
                    </w:rPr>
                    <w:t>空间运动多功能臂码垛应用</w:t>
                  </w:r>
                </w:p>
                <w:p>
                  <w:pPr>
                    <w:pStyle w:val="null3"/>
                  </w:pPr>
                  <w:r>
                    <w:rPr>
                      <w:rFonts w:ascii="仿宋_GB2312" w:hAnsi="仿宋_GB2312" w:cs="仿宋_GB2312" w:eastAsia="仿宋_GB2312"/>
                      <w:sz w:val="24"/>
                      <w:color w:val="000000"/>
                    </w:rPr>
                    <w:t>23)</w:t>
                  </w:r>
                  <w:r>
                    <w:rPr>
                      <w:rFonts w:ascii="仿宋_GB2312" w:hAnsi="仿宋_GB2312" w:cs="仿宋_GB2312" w:eastAsia="仿宋_GB2312"/>
                      <w:sz w:val="24"/>
                      <w:color w:val="000000"/>
                    </w:rPr>
                    <w:t>空间运动多功能臂产品装配应用</w:t>
                  </w:r>
                </w:p>
              </w:tc>
              <w:tc>
                <w:tcPr>
                  <w:tcW w:type="dxa" w:w="4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 xml:space="preserve">1 </w:t>
                  </w:r>
                  <w:r>
                    <w:rPr>
                      <w:rFonts w:ascii="仿宋_GB2312" w:hAnsi="仿宋_GB2312" w:cs="仿宋_GB2312" w:eastAsia="仿宋_GB2312"/>
                      <w:sz w:val="21"/>
                    </w:rPr>
                    <w:t>平台包含空间运动多功能臂基础应用子系统5个、移动式平台1个</w:t>
                  </w:r>
                </w:p>
                <w:p>
                  <w:pPr>
                    <w:pStyle w:val="null3"/>
                    <w:jc w:val="both"/>
                  </w:pPr>
                  <w:r>
                    <w:rPr>
                      <w:rFonts w:ascii="仿宋_GB2312" w:hAnsi="仿宋_GB2312" w:cs="仿宋_GB2312" w:eastAsia="仿宋_GB2312"/>
                      <w:sz w:val="21"/>
                    </w:rPr>
                    <w:t xml:space="preserve">2 </w:t>
                  </w:r>
                  <w:r>
                    <w:rPr>
                      <w:rFonts w:ascii="仿宋_GB2312" w:hAnsi="仿宋_GB2312" w:cs="仿宋_GB2312" w:eastAsia="仿宋_GB2312"/>
                      <w:sz w:val="21"/>
                    </w:rPr>
                    <w:t>安装时对电源的使用规范要符合国家相关标准和学校要求，所有材料自备，不得出现安全问题；</w:t>
                  </w:r>
                </w:p>
                <w:p>
                  <w:pPr>
                    <w:pStyle w:val="null3"/>
                    <w:jc w:val="center"/>
                  </w:pPr>
                  <w:r>
                    <w:rPr>
                      <w:rFonts w:ascii="仿宋_GB2312" w:hAnsi="仿宋_GB2312" w:cs="仿宋_GB2312" w:eastAsia="仿宋_GB2312"/>
                      <w:sz w:val="21"/>
                    </w:rPr>
                    <w:t>2 配备设备使用说明书、实验指导书</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b/>
                    </w:rPr>
                    <w:t>1</w:t>
                  </w:r>
                </w:p>
              </w:tc>
            </w:tr>
          </w:tbl>
          <w:p>
            <w:pPr>
              <w:pStyle w:val="null3"/>
            </w:pPr>
            <w:r>
              <w:rPr>
                <w:rFonts w:ascii="仿宋_GB2312" w:hAnsi="仿宋_GB2312" w:cs="仿宋_GB2312" w:eastAsia="仿宋_GB2312"/>
                <w:sz w:val="24"/>
                <w:b/>
                <w:color w:val="000000"/>
              </w:rPr>
              <w:t>备注：所有</w:t>
            </w:r>
            <w:r>
              <w:rPr>
                <w:rFonts w:ascii="仿宋_GB2312" w:hAnsi="仿宋_GB2312" w:cs="仿宋_GB2312" w:eastAsia="仿宋_GB2312"/>
                <w:sz w:val="24"/>
                <w:b/>
                <w:color w:val="000000"/>
              </w:rPr>
              <w:t>技术参数与性能指标</w:t>
            </w:r>
            <w:r>
              <w:rPr>
                <w:rFonts w:ascii="仿宋_GB2312" w:hAnsi="仿宋_GB2312" w:cs="仿宋_GB2312" w:eastAsia="仿宋_GB2312"/>
                <w:sz w:val="24"/>
                <w:b/>
                <w:color w:val="000000"/>
              </w:rPr>
              <w:t>不允许负偏离，任意一项负偏离按无效文件处理。需提供佐证材料的</w:t>
            </w:r>
            <w:r>
              <w:rPr>
                <w:rFonts w:ascii="仿宋_GB2312" w:hAnsi="仿宋_GB2312" w:cs="仿宋_GB2312" w:eastAsia="仿宋_GB2312"/>
                <w:sz w:val="24"/>
                <w:b/>
                <w:color w:val="000000"/>
              </w:rPr>
              <w:t>技术参数与性能指标，</w:t>
            </w:r>
            <w:r>
              <w:rPr>
                <w:rFonts w:ascii="仿宋_GB2312" w:hAnsi="仿宋_GB2312" w:cs="仿宋_GB2312" w:eastAsia="仿宋_GB2312"/>
                <w:sz w:val="24"/>
                <w:b/>
                <w:color w:val="000000"/>
              </w:rPr>
              <w:t>佐证材料包括但不限于产品彩页、厂家盖章出具的技术白皮书、官网截图等（技术要求中有佐证要求的以技术要求为准）。未提供或提供的佐证材料低于文件规定的相应技术参数时视为负偏离。</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交货期：合同签订之日起 90 日历日内完成交付、安装及调试。</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西安建筑科技大学草堂校区机电楼108</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其他，签订合同后15日内，乙方提供经甲方认可的合同金额100%的预付款保函或双方认可的其他担保措施，达到付款条件起10个工作日内，支付合同总金额的100.0%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1.仪器设备的验收内容包括商务验收、技术验收和安全性能验收三部分。 1.1商务验收是指对货物进行开箱清点，检查仪器设备的外观状况，核对型号、规格、数量及附件，核查（签署）实物（装箱）清单，查验出厂证、产品合格证、质量检验证、保修单、说明书、操作规程、技术资料、检修手册及进口设备的报关清单等文件。 1.2技术验收是指由使用单位依据合同技术附件、招投标文件及产品出厂的主要技术指标，对仪器设备的各项功能进行验收。 1.3安全性能验收主要是指对仪器设备以及其安装场地、使用环境等辅助设施的安全性进行的验收。 2.验收分为一次验收（初验）、专家验收和二次验收（终验）。 2.1一次验收（初验）：由使用单位依据合同及上述规定的三部分验收内容逐条逐项一一核对。 2.2专家验收：由专家组核查设备的技术性能、功能指标、安全性与合规性、配套资料完整性，以及是否满足合同约定及实际使用需求，确保设备质量合格、运行可靠，能够有效服务于教学、科研。 2.3二次验收（终验）：由学校验收小组核实使用单位初验意见及专家组验收意见，依据合同，结合使用单位提交的初验资料，对所供仪器设备进行抽样或全面检查，核实相关技术指标，观看现场演示。</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1、项目质保期：验收合格通过之日起 3 年。 2、售后服务响应时间（质保期内）售后服务响应时间（质保期内）：即时响应（包括电话响应）；电话响应无法解决 36 小时内到达现场。修复时间 6 小时内解决；如在 6 小时内无法修复，则提供部件冗余服务或采取应急措施，提供相同产品或不低于故障产品规格档次的备用产品供采购人使用，以确保货物的正常使用。 3、培训内容及要求： 设备的使用、常见故障排除、日常维护 。</w:t>
      </w:r>
    </w:p>
    <w:p>
      <w:pPr>
        <w:pStyle w:val="null3"/>
        <w:outlineLvl w:val="3"/>
      </w:pPr>
      <w:r>
        <w:rPr>
          <w:rFonts w:ascii="仿宋_GB2312" w:hAnsi="仿宋_GB2312" w:cs="仿宋_GB2312" w:eastAsia="仿宋_GB2312"/>
          <w:sz w:val="24"/>
          <w:b/>
        </w:rPr>
        <w:t>3.4.8违约责任及解决争议的方法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按采购文件、响应文件及合同约定执行</w:t>
      </w:r>
    </w:p>
    <w:p>
      <w:pPr>
        <w:pStyle w:val="null3"/>
        <w:jc w:val="left"/>
        <w:outlineLvl w:val="3"/>
      </w:pPr>
      <w:r>
        <w:rPr>
          <w:rFonts w:ascii="仿宋_GB2312" w:hAnsi="仿宋_GB2312" w:cs="仿宋_GB2312" w:eastAsia="仿宋_GB2312"/>
          <w:sz w:val="24"/>
          <w:b/>
        </w:rPr>
        <w:t>3.5其他要求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中标（成交）结果发布后，中标（成交）供应商在2个工作日内向采购代理机构提供一正一副（和上传文件保持一致的）、电子版壹份（U盘壹份注明单位名称）,纸质投标（响应）文件用于备案及档案保存。纸质谈判响应文件正副本分别胶装（纸质谈判响应文件建议采用双面打印）。 2、保证金的退还：自成交通知书发出之日起5个工作日内退还未成交供应商的谈判保证金,自采购合同签订之日起5个工作日内退还成交供应商的谈判保证金。 3、采购人应按照采购文件和成交供应商响应文件，在成交通知书发出之日起25日内签订合同。 4、本项目谈判报价包括设备配套固定件、安装与调试。 5、供应商所投产品为成熟商业化产品，不接受处于科研阶段或需定制的产品。</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资格审查由采购人或代理机构组建的资格审查小组依据法律法规和谈判文件的规定，对响应文件中的资格证明等进行审查，以确定投标人是否具备投标资格，并出具资格审查报告。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 ①有效的主体资格证明：具有独立承担民事责任能力的法人、其他组织或自然人，并出具合法有效的营业执照或事业单位法人证书等国家规定的相关证明，自然人参与的提供其身份证明。 ②税收缴纳证明：提供2025年5月至今已缴纳至少一个月的依法缴纳税款的相关凭据（时间以税款所属日期为准），凭据应有税务机关或代收机关的公章或业务专用章。依法免税或无须缴纳税款的投标人，应提供相关证明文件。 ③社会保障资金缴存证明：提供2025年5月至今已缴存的至少一个月的社会保障资金缴存单据或社保机构开具的社会保险参保缴费情况证明，依法不需要缴纳社会保障资金的单位应提供相关证明材料。 ④书面声明：参加本次政府采购活动前三年内在经营活动中没有重大违法记录，以及未被列入失信被执行人、重大税收违法失信主体、政府采购严重违法失信行为记录名单的书面声明。本项目拒绝被列入失信被执行人、重大税收违法失信主体、政府采购严重违法失信行为的供应商参与。 ⑤承诺函：提供具有履行合同所必需的设备和专业技术能力的承诺函。 注：供应商需在项目电子化交易系统中上传①-⑤项相关证明文件并进行电子签章。</w:t>
            </w:r>
          </w:p>
        </w:tc>
        <w:tc>
          <w:tcPr>
            <w:tcW w:type="dxa" w:w="1661"/>
          </w:tcPr>
          <w:p>
            <w:pPr>
              <w:pStyle w:val="null3"/>
            </w:pPr>
            <w:r>
              <w:rPr>
                <w:rFonts w:ascii="仿宋_GB2312" w:hAnsi="仿宋_GB2312" w:cs="仿宋_GB2312" w:eastAsia="仿宋_GB2312"/>
              </w:rPr>
              <w:t>中小企业声明函.docx 残疾人福利性单位声明函 响应函 监狱企业的证明文件 供应商资格条件证明文件.docx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法人提供会计师事务所出具的有效的2025年度审计报告（成立时间至提交投标文件截止时间不足一年的可提供成立后任意时段的资产负债表），或提交自2025年11月1日以来银行出具的资信证明，或信用担保机构出具的投标担保函（以上三种形式的资料提供任何一种即可）；其他组织和自然人提供银行出具的资信证明或财务报表。 （注: ①提供审计报告的，根据《财政部关于注册会计师行业统一监管平台上线运行的通知》财办(2022)32号文件要求，审计报告须有清晰可扫描查询的二维码，若审计报告未赋码视为无效。②提供资信证明的，必须提供资信证明全部页以及基本户信息(提供开户许可证或提供基本银行账户信息)，银行出具的存款证明不能代替资信证明，存款证明无效。） 注：供应商需在项目电子化交易系统中按要求上传相应证明文件并进行电子签章。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 供应商资格条件证明文件.docx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中小企业声明函.docx 残疾人福利性单位声明函 监狱企业的证明文件 供应商资格条件证明文件.docx</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法定代表人授权书及被授权人身份证明。（法定代表人直接谈判只须提供其身份证明）。</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声明函</w:t>
            </w:r>
          </w:p>
        </w:tc>
        <w:tc>
          <w:tcPr>
            <w:tcW w:type="dxa" w:w="3322"/>
          </w:tcPr>
          <w:p>
            <w:pPr>
              <w:pStyle w:val="null3"/>
            </w:pPr>
            <w:r>
              <w:rPr>
                <w:rFonts w:ascii="仿宋_GB2312" w:hAnsi="仿宋_GB2312" w:cs="仿宋_GB2312" w:eastAsia="仿宋_GB2312"/>
              </w:rPr>
              <w:t>本项目专门面向中小企业采购，响应产品的制造商应为中型企业或小型、微型企业或监狱企业或残疾人福利性单位，供应商须提供声明函。</w:t>
            </w:r>
          </w:p>
        </w:tc>
        <w:tc>
          <w:tcPr>
            <w:tcW w:type="dxa" w:w="1661"/>
          </w:tcPr>
          <w:p>
            <w:pPr>
              <w:pStyle w:val="null3"/>
            </w:pPr>
            <w:r>
              <w:rPr>
                <w:rFonts w:ascii="仿宋_GB2312" w:hAnsi="仿宋_GB2312" w:cs="仿宋_GB2312" w:eastAsia="仿宋_GB2312"/>
              </w:rPr>
              <w:t>中小企业声明函.docx 残疾人福利性单位声明函 监狱企业的证明文件 供应商资格条件证明文件.docx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谈判过程中可实质性变动的内容</w:t>
      </w:r>
    </w:p>
    <w:p>
      <w:pPr>
        <w:pStyle w:val="null3"/>
        <w:ind w:firstLine="480"/>
      </w:pPr>
      <w:r>
        <w:rPr>
          <w:rFonts w:ascii="仿宋_GB2312" w:hAnsi="仿宋_GB2312" w:cs="仿宋_GB2312" w:eastAsia="仿宋_GB2312"/>
        </w:rPr>
        <w:t xml:space="preserve"> 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谈判办法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一、根据《中华人民共和国政府采购法》《中华人民共和国政府采购法实施条例》《政府采购非招标采购方式管理办法》等法律制度，结合本采购项目特点制定本次竞争性谈判评审方法。</w:t>
      </w:r>
    </w:p>
    <w:p>
      <w:pPr>
        <w:pStyle w:val="null3"/>
        <w:ind w:firstLine="480"/>
      </w:pPr>
      <w:r>
        <w:rPr>
          <w:rFonts w:ascii="仿宋_GB2312" w:hAnsi="仿宋_GB2312" w:cs="仿宋_GB2312" w:eastAsia="仿宋_GB2312"/>
        </w:rPr>
        <w:t>二、评审工作由代理机构组织，具体评审事务由依法组建的谈判小组负责。</w:t>
      </w:r>
    </w:p>
    <w:p>
      <w:pPr>
        <w:pStyle w:val="null3"/>
        <w:ind w:firstLine="480"/>
      </w:pPr>
      <w:r>
        <w:rPr>
          <w:rFonts w:ascii="仿宋_GB2312" w:hAnsi="仿宋_GB2312" w:cs="仿宋_GB2312" w:eastAsia="仿宋_GB2312"/>
        </w:rPr>
        <w:t>三、评审工作应遵循客观、公正、审慎的原则，并以相同的谈判程序和标准对待所有的供应商。</w:t>
      </w:r>
    </w:p>
    <w:p>
      <w:pPr>
        <w:pStyle w:val="null3"/>
        <w:ind w:firstLine="480"/>
      </w:pPr>
      <w:r>
        <w:rPr>
          <w:rFonts w:ascii="仿宋_GB2312" w:hAnsi="仿宋_GB2312" w:cs="仿宋_GB2312" w:eastAsia="仿宋_GB2312"/>
        </w:rPr>
        <w:t xml:space="preserve"> 四、本项目采取电子化评审，通过项目电子化交易系统完成评审工作。谈判小组成员、采购人、代理机构和供应商应当按照本谈判文件规定和项目电子化交易系统操作要求开展或者参加评审活动。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6.2谈判小组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一、谈判小组成员应当满足并适应电子化采购评审的工作需要，使用已身份认证并具备签章功能的证书，登录项目电子化交易系统进入项目评审功能模块确认身份、签到、推荐谈判小组组长。</w:t>
      </w:r>
    </w:p>
    <w:p>
      <w:pPr>
        <w:pStyle w:val="null3"/>
        <w:ind w:firstLine="480"/>
      </w:pPr>
      <w:r>
        <w:rPr>
          <w:rFonts w:ascii="仿宋_GB2312" w:hAnsi="仿宋_GB2312" w:cs="仿宋_GB2312" w:eastAsia="仿宋_GB2312"/>
        </w:rPr>
        <w:t xml:space="preserve"> 二、谈判小组成员获取解密后的响应文件，开展评审活动。出现应当回避的情形时，谈判小组成员应当主动回避；代理机构按规定申请补充抽取评审专家；无法及时补充抽取的，采购人或者代理机构应当封存供应商响应文件，按规定重新组建谈判小组，解封响应文件后，开展评审活动。</w:t>
      </w:r>
    </w:p>
    <w:p>
      <w:pPr>
        <w:pStyle w:val="null3"/>
        <w:ind w:firstLine="480"/>
      </w:pPr>
      <w:r>
        <w:rPr>
          <w:rFonts w:ascii="仿宋_GB2312" w:hAnsi="仿宋_GB2312" w:cs="仿宋_GB2312" w:eastAsia="仿宋_GB2312"/>
        </w:rPr>
        <w:t>三、谈判小组按照谈判文件规定的谈判程序、评审方法和标准进行评审，并独立履行下列职责：</w:t>
      </w:r>
    </w:p>
    <w:p>
      <w:pPr>
        <w:pStyle w:val="null3"/>
        <w:ind w:firstLine="480"/>
      </w:pPr>
      <w:r>
        <w:rPr>
          <w:rFonts w:ascii="仿宋_GB2312" w:hAnsi="仿宋_GB2312" w:cs="仿宋_GB2312" w:eastAsia="仿宋_GB2312"/>
        </w:rPr>
        <w:t>（一）熟悉和理解谈判文件；</w:t>
      </w:r>
    </w:p>
    <w:p>
      <w:pPr>
        <w:pStyle w:val="null3"/>
        <w:ind w:firstLine="480"/>
      </w:pPr>
      <w:r>
        <w:rPr>
          <w:rFonts w:ascii="仿宋_GB2312" w:hAnsi="仿宋_GB2312" w:cs="仿宋_GB2312" w:eastAsia="仿宋_GB2312"/>
        </w:rPr>
        <w:t>（二）审查供应商响应文件等是否满足谈判文件要求，并作出评价；</w:t>
      </w:r>
    </w:p>
    <w:p>
      <w:pPr>
        <w:pStyle w:val="null3"/>
        <w:ind w:firstLine="480"/>
      </w:pPr>
      <w:r>
        <w:rPr>
          <w:rFonts w:ascii="仿宋_GB2312" w:hAnsi="仿宋_GB2312" w:cs="仿宋_GB2312" w:eastAsia="仿宋_GB2312"/>
        </w:rPr>
        <w:t xml:space="preserve"> （三）根据需要要求采购组织单位对谈判文件作出解释；根据需要要求供应商对响应文件有关事项作出澄清、说明或者更正；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6.3.1审查谈判文件和停止评审</w:t>
      </w:r>
    </w:p>
    <w:p>
      <w:pPr>
        <w:pStyle w:val="null3"/>
        <w:ind w:firstLine="480"/>
      </w:pPr>
      <w:r>
        <w:rPr>
          <w:rFonts w:ascii="仿宋_GB2312" w:hAnsi="仿宋_GB2312" w:cs="仿宋_GB2312" w:eastAsia="仿宋_GB2312"/>
        </w:rPr>
        <w:t xml:space="preserve"> 一、谈判小组正式评审前，应当对谈判文件进行熟悉和理解，内容主要包括谈判文件中供应商资格条件要求、采购项目技术、服务和商务要求、谈判办法和标准、政府采购政策要求以及政府采购合同主要条款等。</w:t>
      </w:r>
    </w:p>
    <w:p>
      <w:pPr>
        <w:pStyle w:val="null3"/>
        <w:ind w:firstLine="480"/>
      </w:pPr>
      <w:r>
        <w:rPr>
          <w:rFonts w:ascii="仿宋_GB2312" w:hAnsi="仿宋_GB2312" w:cs="仿宋_GB2312" w:eastAsia="仿宋_GB2312"/>
        </w:rPr>
        <w:t>二、本谈判文件有下列情形之一的，谈判小组应当停止评审：</w:t>
      </w:r>
    </w:p>
    <w:p>
      <w:pPr>
        <w:pStyle w:val="null3"/>
        <w:ind w:firstLine="480"/>
      </w:pPr>
      <w:r>
        <w:rPr>
          <w:rFonts w:ascii="仿宋_GB2312" w:hAnsi="仿宋_GB2312" w:cs="仿宋_GB2312" w:eastAsia="仿宋_GB2312"/>
        </w:rPr>
        <w:t>（一）谈判文件的规定存在歧义、重大缺陷的；</w:t>
      </w:r>
    </w:p>
    <w:p>
      <w:pPr>
        <w:pStyle w:val="null3"/>
        <w:ind w:firstLine="480"/>
      </w:pPr>
      <w:r>
        <w:rPr>
          <w:rFonts w:ascii="仿宋_GB2312" w:hAnsi="仿宋_GB2312" w:cs="仿宋_GB2312" w:eastAsia="仿宋_GB2312"/>
        </w:rPr>
        <w:t>（二）谈判文件明显以不合理条件对供应商实行差别待遇或者歧视待遇的；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pPr>
      <w:r>
        <w:rPr>
          <w:rFonts w:ascii="仿宋_GB2312" w:hAnsi="仿宋_GB2312" w:cs="仿宋_GB2312" w:eastAsia="仿宋_GB2312"/>
        </w:rPr>
        <w:t>（五）谈判文件将供应商的资格条件列为评分因素的；</w:t>
      </w:r>
    </w:p>
    <w:p>
      <w:pPr>
        <w:pStyle w:val="null3"/>
        <w:ind w:firstLine="480"/>
      </w:pPr>
      <w:r>
        <w:rPr>
          <w:rFonts w:ascii="仿宋_GB2312" w:hAnsi="仿宋_GB2312" w:cs="仿宋_GB2312" w:eastAsia="仿宋_GB2312"/>
        </w:rPr>
        <w:t>（六）谈判文件载明的成交原则不合法的；</w:t>
      </w:r>
    </w:p>
    <w:p>
      <w:pPr>
        <w:pStyle w:val="null3"/>
        <w:ind w:firstLine="480"/>
        <w:jc w:val="left"/>
      </w:pPr>
      <w:r>
        <w:rPr>
          <w:rFonts w:ascii="仿宋_GB2312" w:hAnsi="仿宋_GB2312" w:cs="仿宋_GB2312" w:eastAsia="仿宋_GB2312"/>
        </w:rPr>
        <w:t>（七）谈判文件有违反国家其他有关强制性规定的情形。</w:t>
      </w:r>
    </w:p>
    <w:p>
      <w:pPr>
        <w:pStyle w:val="null3"/>
        <w:ind w:firstLine="480"/>
      </w:pPr>
      <w:r>
        <w:rPr>
          <w:rFonts w:ascii="仿宋_GB2312" w:hAnsi="仿宋_GB2312" w:cs="仿宋_GB2312" w:eastAsia="仿宋_GB2312"/>
        </w:rPr>
        <w:t xml:space="preserve"> 出现上述应当停止评审情形的，谈判小组应当通过项目电子化交易系统向采购人提交情况说明。除上述情形外，谈判小组不得以任何方式和理由停止评审。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谈判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一、谈判小组依据本谈判文件的实质性要求，对符合资格的响应文件进行审查，以确定其是否满足本谈判文件的实质性要求。本项目的符合性审查事项必须以本谈判文件的明确规定的实质性要求为依据。</w:t>
      </w:r>
    </w:p>
    <w:p>
      <w:pPr>
        <w:pStyle w:val="null3"/>
        <w:ind w:firstLine="480"/>
      </w:pPr>
      <w:r>
        <w:rPr>
          <w:rFonts w:ascii="仿宋_GB2312" w:hAnsi="仿宋_GB2312" w:cs="仿宋_GB2312" w:eastAsia="仿宋_GB2312"/>
        </w:rPr>
        <w:t xml:space="preserve"> 二、在符合性审查过程中，如果出现谈判小组成员意见不一致的情况，按照少数服从多数的原则确定，但不得违背政府采购基本原则和谈判文件规定。</w:t>
      </w:r>
    </w:p>
    <w:p>
      <w:pPr>
        <w:pStyle w:val="null3"/>
        <w:ind w:firstLine="480"/>
      </w:pPr>
      <w:r>
        <w:rPr>
          <w:rFonts w:ascii="仿宋_GB2312" w:hAnsi="仿宋_GB2312" w:cs="仿宋_GB2312" w:eastAsia="仿宋_GB2312"/>
        </w:rPr>
        <w:t>三、谈判小组对所有响应文件进行审查后，确定参加谈判的供应商名单。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谈判过程中，谈判小组认为供应商的报价明显低于其他通过符合性审查供应商的报价，有可能影响产品质量或者不能诚信履约的，谈判小组应当要求其在合理的时间内在项目电子化交易系统中上传说明材料，必要时提交相关证明材料。供应商提交的相关证明材料，应当加盖供应商（法定名称）电子印章，在谈判小组要求的时间内通过项目电子化交易系统进行提交，否则提交的相关证明材料无效。供应商不能证明其报价合理性的，谈判小组应当将其响应文件作为无效处理。</w:t>
            </w:r>
          </w:p>
        </w:tc>
        <w:tc>
          <w:tcPr>
            <w:tcW w:type="dxa" w:w="1661"/>
          </w:tcPr>
          <w:p>
            <w:pPr>
              <w:pStyle w:val="null3"/>
            </w:pPr>
            <w:r>
              <w:rPr>
                <w:rFonts w:ascii="仿宋_GB2312" w:hAnsi="仿宋_GB2312" w:cs="仿宋_GB2312" w:eastAsia="仿宋_GB2312"/>
              </w:rPr>
              <w:t>分项报价表.docx 标的清单 报价表 响应报价表.docx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符合性审查</w:t>
            </w:r>
          </w:p>
        </w:tc>
        <w:tc>
          <w:tcPr>
            <w:tcW w:type="dxa" w:w="3322"/>
          </w:tcPr>
          <w:p>
            <w:pPr>
              <w:pStyle w:val="null3"/>
            </w:pPr>
            <w:r>
              <w:rPr>
                <w:rFonts w:ascii="仿宋_GB2312" w:hAnsi="仿宋_GB2312" w:cs="仿宋_GB2312" w:eastAsia="仿宋_GB2312"/>
              </w:rPr>
              <w:t>有下列情形之一的，应在符合性审查时按照无效响应处理： (1)响应文件未按照采购文件规定要求签署、盖章； (2)不满足本谈判文件中“交货时间、交货地点、采购资金的支付方式及约定、质量保修范围和保修期”的实质性条款要求； (3)谈判有效期不足或无有效期； (4)报价超过谈判文件中规定的最高限价； (5)保证金交纳不符合谈判文件要求； (6)未提供或未填写产品使用寿命承诺函； (7)法律、法规和谈判文件规定的其他无效情形。</w:t>
            </w:r>
          </w:p>
        </w:tc>
        <w:tc>
          <w:tcPr>
            <w:tcW w:type="dxa" w:w="1661"/>
          </w:tcPr>
          <w:p>
            <w:pPr>
              <w:pStyle w:val="null3"/>
            </w:pPr>
            <w:r>
              <w:rPr>
                <w:rFonts w:ascii="仿宋_GB2312" w:hAnsi="仿宋_GB2312" w:cs="仿宋_GB2312" w:eastAsia="仿宋_GB2312"/>
              </w:rPr>
              <w:t>中小企业声明函.docx 本国产品说明 中国境内生产的组件成本核算基本规则 供应商承诺书.docx 技术指标偏差表.docx 商务条款响应说明.docx 附件：保证金缴纳凭证.docx 响应文件封面 分项报价表.docx 附件：节能产品政府采购品目清单.docx 残疾人福利性单位声明函 标的清单 关于符合本国产品标准的声明函 响应报价表.docx 谈判响应方案说明.docx 响应函 监狱企业的证明文件 供应商资格条件证明文件.docx</w:t>
            </w:r>
          </w:p>
        </w:tc>
      </w:tr>
    </w:tbl>
    <w:p>
      <w:pPr>
        <w:pStyle w:val="null3"/>
        <w:outlineLvl w:val="3"/>
      </w:pPr>
      <w:r>
        <w:rPr>
          <w:rFonts w:ascii="仿宋_GB2312" w:hAnsi="仿宋_GB2312" w:cs="仿宋_GB2312" w:eastAsia="仿宋_GB2312"/>
          <w:sz w:val="24"/>
          <w:b/>
        </w:rPr>
        <w:t>6.3.3谈判</w:t>
      </w:r>
    </w:p>
    <w:p>
      <w:pPr>
        <w:pStyle w:val="null3"/>
        <w:ind w:firstLine="480"/>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pPr>
      <w:r>
        <w:rPr>
          <w:rFonts w:ascii="仿宋_GB2312" w:hAnsi="仿宋_GB2312" w:cs="仿宋_GB2312" w:eastAsia="仿宋_GB2312"/>
        </w:rPr>
        <w:t xml:space="preserve"> 二、谈判小组所有成员集中与单一供应商对技术、服务、合同条款等内容分别进行一轮或多轮的谈判。在谈判中，谈判的任何一方不得透露与谈判有关的其他供应商的技术资料、价格和其他信息。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三、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ind w:firstLine="480"/>
      </w:pPr>
      <w:r>
        <w:rPr>
          <w:rFonts w:ascii="仿宋_GB2312" w:hAnsi="仿宋_GB2312" w:cs="仿宋_GB2312" w:eastAsia="仿宋_GB2312"/>
        </w:rPr>
        <w:t xml:space="preserve"> 四、对谈判文件作出的实质性变动是谈判文件的有效组成部分，谈判小组应通过“承诺”功能，将变动情况通知所有参加谈判的供应商。谈判过程中，谈判小组可以根据谈判情况调整谈判轮次。</w:t>
      </w:r>
    </w:p>
    <w:p>
      <w:pPr>
        <w:pStyle w:val="null3"/>
        <w:ind w:firstLine="480"/>
      </w:pPr>
      <w:r>
        <w:rPr>
          <w:rFonts w:ascii="仿宋_GB2312" w:hAnsi="仿宋_GB2312" w:cs="仿宋_GB2312" w:eastAsia="仿宋_GB2312"/>
        </w:rPr>
        <w:t xml:space="preserve"> 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pPr>
      <w:r>
        <w:rPr>
          <w:rFonts w:ascii="仿宋_GB2312" w:hAnsi="仿宋_GB2312" w:cs="仿宋_GB2312" w:eastAsia="仿宋_GB2312"/>
        </w:rPr>
        <w:t>六、经最终谈判后，响应文件仍有下列情况之一的，应按照无效响应处理：</w:t>
      </w:r>
    </w:p>
    <w:p>
      <w:pPr>
        <w:pStyle w:val="null3"/>
        <w:ind w:firstLine="480"/>
      </w:pPr>
      <w:r>
        <w:rPr>
          <w:rFonts w:ascii="仿宋_GB2312" w:hAnsi="仿宋_GB2312" w:cs="仿宋_GB2312" w:eastAsia="仿宋_GB2312"/>
        </w:rPr>
        <w:t>（一）响应文件仍不能实质响应谈判文件可实质性变动的实质性要求的；</w:t>
      </w:r>
    </w:p>
    <w:p>
      <w:pPr>
        <w:pStyle w:val="null3"/>
        <w:ind w:firstLine="480"/>
      </w:pPr>
      <w:r>
        <w:rPr>
          <w:rFonts w:ascii="仿宋_GB2312" w:hAnsi="仿宋_GB2312" w:cs="仿宋_GB2312" w:eastAsia="仿宋_GB2312"/>
        </w:rPr>
        <w:t>（二）响应文件中仍有谈判文件规定的其他无效响应情形的。</w:t>
      </w:r>
    </w:p>
    <w:p>
      <w:pPr>
        <w:pStyle w:val="null3"/>
        <w:ind w:firstLine="480"/>
      </w:pPr>
      <w:r>
        <w:rPr>
          <w:rFonts w:ascii="仿宋_GB2312" w:hAnsi="仿宋_GB2312" w:cs="仿宋_GB2312" w:eastAsia="仿宋_GB2312"/>
        </w:rPr>
        <w:t xml:space="preserve"> 七、谈判小组对供应商在谈判、评审过程中的书面交换材料，未按要求加盖电子印章或签字的，视同未提交书面交换材料。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八、谈判小组在最终谈判后，对所有响应文件的有效性、完整性和响应程度进行审查后，确定最后报价的供应商名单。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九、谈判过程中，谈判的任何一方不得透露与谈判有关的其他供应商的技术资料、价格和其他信息。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十、谈判过程中，谈判小组发现或者知晓供应商存在违法行为的，应当谈判报告中予以记录，并向本级财政部门报告，依法应将该供应商响应文件作无效处理的，应当作无效处理。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二、谈判小组开启报价后，供应商应随时关注项目电子化交易系统信息提醒，登录项目电子化交易系统，通过“评审等候大厅”进行报价并签章后提交。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三、供应商在未提高响应文件中承诺的标准情况下，其最后报价不得高于对该项目之前的报价，否则，谈判小组将对其响应文件作无效处理，并通过电子化交易系统告知供应商，说明理由。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四、供应商最后报价属于明显低价不正当竞争的，谈判小组应按照“供应商须知前附表”第8项规定处理。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六、供应商未按谈判小组要求在规定时间内提交最后报价的，视为其退出谈判。</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jc w:val="left"/>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（三）供应商的最后报价应符合谈判文件的要求。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十、异常低价审查：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4984"/>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评审点要求概况</w:t>
            </w:r>
          </w:p>
        </w:tc>
        <w:tc>
          <w:tcPr>
            <w:tcW w:type="dxa" w:w="4984"/>
          </w:tcPr>
          <w:p>
            <w:pPr>
              <w:pStyle w:val="null3"/>
            </w:pPr>
            <w:r>
              <w:rPr>
                <w:rFonts w:ascii="仿宋_GB2312" w:hAnsi="仿宋_GB2312" w:cs="仿宋_GB2312" w:eastAsia="仿宋_GB2312"/>
              </w:rPr>
              <w:t xml:space="preserve"> 异常低价的情形</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异常低价审查</w:t>
            </w:r>
          </w:p>
        </w:tc>
        <w:tc>
          <w:tcPr>
            <w:tcW w:type="dxa" w:w="4984"/>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w:t>
              <w:br/>
              <w:t>（1）投标（响应）报价低于全部通过符合性审查供应商投标（响应）报价平均值50%的，即投标（响应）报价&lt;全部通过符合性审查供应商投标（响应）报价平均值×50%。</w:t>
              <w:br/>
              <w:t>（2）投标（响应）报价低于通过符合性审查且报价次低供应商投标（响应）报价50%的，即投标（响应）报价&lt;通过符合性审查且报价次低供应商投标（响应）报价×50%。</w:t>
              <w:br/>
              <w:t>（3）投标（响应）报价低于最高限价45%的，即投标（响应）报价&lt;最高限价×45%。</w:t>
              <w:br/>
              <w:t>（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br/>
              <w:t>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tc>
      </w:tr>
    </w:tbl>
    <w:p>
      <w:pPr>
        <w:pStyle w:val="null3"/>
        <w:ind w:firstLine="480"/>
      </w:pPr>
      <w:r>
        <w:rPr>
          <w:rFonts w:ascii="仿宋_GB2312" w:hAnsi="仿宋_GB2312" w:cs="仿宋_GB2312" w:eastAsia="仿宋_GB2312"/>
        </w:rPr>
        <w:t>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p>
      <w:pPr>
        <w:pStyle w:val="null3"/>
        <w:outlineLvl w:val="3"/>
      </w:pPr>
      <w:r>
        <w:rPr>
          <w:rFonts w:ascii="仿宋_GB2312" w:hAnsi="仿宋_GB2312" w:cs="仿宋_GB2312" w:eastAsia="仿宋_GB2312"/>
          <w:sz w:val="24"/>
          <w:b/>
        </w:rPr>
        <w:t>6.3.5价格扣除</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910"/>
          </w:tcPr>
          <w:p>
            <w:pPr>
              <w:pStyle w:val="null3"/>
            </w:pPr>
            <w:r>
              <w:rPr>
                <w:rFonts w:ascii="仿宋_GB2312" w:hAnsi="仿宋_GB2312" w:cs="仿宋_GB2312" w:eastAsia="仿宋_GB2312"/>
              </w:rPr>
              <w:t>本国产品说明 关于符合本国产品标准的声明函 中国境内生产的组件成本核算基本规则</w:t>
            </w:r>
          </w:p>
        </w:tc>
      </w:tr>
    </w:tbl>
    <w:p>
      <w:pPr>
        <w:pStyle w:val="null3"/>
        <w:outlineLvl w:val="3"/>
      </w:pPr>
      <w:r>
        <w:rPr>
          <w:rFonts w:ascii="仿宋_GB2312" w:hAnsi="仿宋_GB2312" w:cs="仿宋_GB2312" w:eastAsia="仿宋_GB2312"/>
          <w:sz w:val="24"/>
          <w:b/>
        </w:rPr>
        <w:t>6.3.6解释、澄清、说明的有关问题</w:t>
      </w:r>
    </w:p>
    <w:p>
      <w:pPr>
        <w:pStyle w:val="null3"/>
        <w:ind w:firstLine="480"/>
      </w:pPr>
      <w:r>
        <w:rPr>
          <w:rFonts w:ascii="仿宋_GB2312" w:hAnsi="仿宋_GB2312" w:cs="仿宋_GB2312" w:eastAsia="仿宋_GB2312"/>
        </w:rPr>
        <w:t xml:space="preserve"> 一、评审过程中，谈判小组认为竞争性谈判文件有关事项表述不明确或需要说明的，可以提请代理机构书面解释。代理机构的解释不得改变竞争性谈判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三、代理机构宣布评审结束之前，供应商应通过项目电子化交易系统随时关注评审消息提示，及时响应谈判小组发出的澄清、说明或更正要求。供应商未能及时响应的，自行承担不利后果。</w:t>
      </w:r>
    </w:p>
    <w:p>
      <w:pPr>
        <w:pStyle w:val="null3"/>
        <w:ind w:firstLine="480"/>
      </w:pPr>
      <w:r>
        <w:rPr>
          <w:rFonts w:ascii="仿宋_GB2312" w:hAnsi="仿宋_GB2312" w:cs="仿宋_GB2312" w:eastAsia="仿宋_GB2312"/>
        </w:rPr>
        <w:t>四、谈判小组应当积极履行澄清、说明或者更正的职责，不得滥用权力。</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ind w:firstLine="480"/>
        <w:jc w:val="left"/>
      </w:pPr>
      <w:r>
        <w:rPr>
          <w:rFonts w:ascii="仿宋_GB2312" w:hAnsi="仿宋_GB2312" w:cs="仿宋_GB2312" w:eastAsia="仿宋_GB2312"/>
        </w:rPr>
        <w:t xml:space="preserve"> 响应文件满足谈判文件全部实质性要求且最终报价最低的供应商为排名第一的成交候选供应商。</w:t>
      </w:r>
    </w:p>
    <w:p>
      <w:pPr>
        <w:pStyle w:val="null3"/>
        <w:ind w:firstLine="480"/>
        <w:jc w:val="left"/>
      </w:pPr>
      <w:r>
        <w:rPr>
          <w:rFonts w:ascii="仿宋_GB2312" w:hAnsi="仿宋_GB2312" w:cs="仿宋_GB2312" w:eastAsia="仿宋_GB2312"/>
        </w:rPr>
        <w:t xml:space="preserve"> 经评审的最终报价是指对供应商最后报价完成价格修正和落实政府采购政策进行的价格扣除后的报价。</w:t>
      </w:r>
    </w:p>
    <w:p>
      <w:pPr>
        <w:pStyle w:val="null3"/>
        <w:outlineLvl w:val="3"/>
      </w:pPr>
      <w:r>
        <w:rPr>
          <w:rFonts w:ascii="仿宋_GB2312" w:hAnsi="仿宋_GB2312" w:cs="仿宋_GB2312" w:eastAsia="仿宋_GB2312"/>
          <w:sz w:val="24"/>
          <w:b/>
        </w:rPr>
        <w:t>6.3.9编写谈判报告</w:t>
      </w:r>
    </w:p>
    <w:p>
      <w:pPr>
        <w:pStyle w:val="null3"/>
        <w:ind w:firstLine="480"/>
      </w:pPr>
      <w:r>
        <w:rPr>
          <w:rFonts w:ascii="仿宋_GB2312" w:hAnsi="仿宋_GB2312" w:cs="仿宋_GB2312" w:eastAsia="仿宋_GB2312"/>
        </w:rPr>
        <w:t xml:space="preserve"> 谈判小组在项目电子化交易系统中编制评审情况，生成谈判报告。谈判报告是谈判小组根据全体成员签字的原始评审记录和评审结果编写的报告，其主要内容包括：</w:t>
      </w:r>
    </w:p>
    <w:p>
      <w:pPr>
        <w:pStyle w:val="null3"/>
        <w:ind w:firstLine="480"/>
      </w:pPr>
      <w:r>
        <w:rPr>
          <w:rFonts w:ascii="仿宋_GB2312" w:hAnsi="仿宋_GB2312" w:cs="仿宋_GB2312" w:eastAsia="仿宋_GB2312"/>
        </w:rPr>
        <w:t>一、邀请供应商参加采购活动的具体方式和相关情况，以及参加采购活动的供应商名单；</w:t>
      </w:r>
    </w:p>
    <w:p>
      <w:pPr>
        <w:pStyle w:val="null3"/>
        <w:ind w:firstLine="480"/>
      </w:pPr>
      <w:r>
        <w:rPr>
          <w:rFonts w:ascii="仿宋_GB2312" w:hAnsi="仿宋_GB2312" w:cs="仿宋_GB2312" w:eastAsia="仿宋_GB2312"/>
        </w:rPr>
        <w:t>二、谈判日期和地点，评审委员会成员名单；</w:t>
      </w:r>
    </w:p>
    <w:p>
      <w:pPr>
        <w:pStyle w:val="null3"/>
        <w:ind w:firstLine="480"/>
      </w:pPr>
      <w:r>
        <w:rPr>
          <w:rFonts w:ascii="仿宋_GB2312" w:hAnsi="仿宋_GB2312" w:cs="仿宋_GB2312" w:eastAsia="仿宋_GB2312"/>
        </w:rPr>
        <w:t>三、参加报价的供应商名单及报价情况和未参加报价的供应商名单及原因；</w:t>
      </w:r>
    </w:p>
    <w:p>
      <w:pPr>
        <w:pStyle w:val="null3"/>
        <w:ind w:firstLine="480"/>
      </w:pPr>
      <w:r>
        <w:rPr>
          <w:rFonts w:ascii="仿宋_GB2312" w:hAnsi="仿宋_GB2312" w:cs="仿宋_GB2312" w:eastAsia="仿宋_GB2312"/>
        </w:rPr>
        <w:t>四、变动谈判文件实质性内容的有关资料及记录；</w:t>
      </w:r>
    </w:p>
    <w:p>
      <w:pPr>
        <w:pStyle w:val="null3"/>
        <w:ind w:firstLine="480"/>
      </w:pPr>
      <w:r>
        <w:rPr>
          <w:rFonts w:ascii="仿宋_GB2312" w:hAnsi="仿宋_GB2312" w:cs="仿宋_GB2312" w:eastAsia="仿宋_GB2312"/>
        </w:rPr>
        <w:t>五、供应商响应文件响应谈判文件实质性要求情况及供应商变动响应文件有关资料及记录；</w:t>
      </w:r>
    </w:p>
    <w:p>
      <w:pPr>
        <w:pStyle w:val="null3"/>
        <w:ind w:firstLine="480"/>
      </w:pPr>
      <w:r>
        <w:rPr>
          <w:rFonts w:ascii="仿宋_GB2312" w:hAnsi="仿宋_GB2312" w:cs="仿宋_GB2312" w:eastAsia="仿宋_GB2312"/>
        </w:rPr>
        <w:t>六、谈判情况记录和说明，包括对供应商的资格审查情况、供应商响应文件谈判情况等；</w:t>
      </w:r>
    </w:p>
    <w:p>
      <w:pPr>
        <w:pStyle w:val="null3"/>
        <w:ind w:firstLine="480"/>
      </w:pPr>
      <w:r>
        <w:rPr>
          <w:rFonts w:ascii="仿宋_GB2312" w:hAnsi="仿宋_GB2312" w:cs="仿宋_GB2312" w:eastAsia="仿宋_GB2312"/>
        </w:rPr>
        <w:t>七、推荐的成交候选供应商名单及理由。</w:t>
      </w:r>
    </w:p>
    <w:p>
      <w:pPr>
        <w:pStyle w:val="null3"/>
        <w:ind w:firstLine="480"/>
      </w:pPr>
      <w:r>
        <w:rPr>
          <w:rFonts w:ascii="仿宋_GB2312" w:hAnsi="仿宋_GB2312" w:cs="仿宋_GB2312" w:eastAsia="仿宋_GB2312"/>
        </w:rPr>
        <w:t xml:space="preserve"> 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说明其不同意见和理由的，视为同意谈判报告。</w:t>
      </w:r>
    </w:p>
    <w:p>
      <w:pPr>
        <w:pStyle w:val="null3"/>
        <w:outlineLvl w:val="3"/>
      </w:pPr>
      <w:r>
        <w:rPr>
          <w:rFonts w:ascii="仿宋_GB2312" w:hAnsi="仿宋_GB2312" w:cs="仿宋_GB2312" w:eastAsia="仿宋_GB2312"/>
          <w:sz w:val="24"/>
          <w:b/>
        </w:rPr>
        <w:t>6.3.10谈判争议处理规则</w:t>
      </w:r>
    </w:p>
    <w:p>
      <w:pPr>
        <w:pStyle w:val="null3"/>
        <w:ind w:firstLine="480"/>
      </w:pPr>
      <w:r>
        <w:rPr>
          <w:rFonts w:ascii="仿宋_GB2312" w:hAnsi="仿宋_GB2312" w:cs="仿宋_GB2312" w:eastAsia="仿宋_GB2312"/>
        </w:rPr>
        <w:t xml:space="preserve"> 在谈判过程中，对于符合性审查、对响应文件作无效响应处理的及其他需要共同认定的事项存在争议的，应当以少数服从多数的原则作出结论，但不得违背竞争性谈判文件规定。持不同意见的谈判小组成员应当在谈判报告中签署不同意见及理由，否则视为同意评审报告。持不同意见的谈判小组成员认为认定过程和结果不符合法律法规或者谈判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6.4终止采购活动情形</w:t>
      </w:r>
    </w:p>
    <w:p>
      <w:pPr>
        <w:pStyle w:val="null3"/>
        <w:ind w:firstLine="480"/>
      </w:pPr>
      <w:r>
        <w:rPr>
          <w:rFonts w:ascii="仿宋_GB2312" w:hAnsi="仿宋_GB2312" w:cs="仿宋_GB2312" w:eastAsia="仿宋_GB2312"/>
        </w:rPr>
        <w:t>有下列情形之一的，本项目终止采购活动：</w:t>
      </w:r>
    </w:p>
    <w:p>
      <w:pPr>
        <w:pStyle w:val="null3"/>
        <w:ind w:firstLine="480"/>
      </w:pPr>
      <w:r>
        <w:rPr>
          <w:rFonts w:ascii="仿宋_GB2312" w:hAnsi="仿宋_GB2312" w:cs="仿宋_GB2312" w:eastAsia="仿宋_GB2312"/>
        </w:rPr>
        <w:t>一、因情况变化，不再符合规定的竞争性谈判采购方式适用情形的；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三、提交首次响应文件的供应商不足三家的；</w:t>
      </w:r>
    </w:p>
    <w:p>
      <w:pPr>
        <w:pStyle w:val="null3"/>
        <w:ind w:firstLine="480"/>
      </w:pPr>
      <w:r>
        <w:rPr>
          <w:rFonts w:ascii="仿宋_GB2312" w:hAnsi="仿宋_GB2312" w:cs="仿宋_GB2312" w:eastAsia="仿宋_GB2312"/>
        </w:rPr>
        <w:t>四、通过资格审查的供应商不足三家的；</w:t>
      </w:r>
    </w:p>
    <w:p>
      <w:pPr>
        <w:pStyle w:val="null3"/>
        <w:ind w:firstLine="480"/>
      </w:pPr>
      <w:r>
        <w:rPr>
          <w:rFonts w:ascii="仿宋_GB2312" w:hAnsi="仿宋_GB2312" w:cs="仿宋_GB2312" w:eastAsia="仿宋_GB2312"/>
        </w:rPr>
        <w:t>五、通过符合性审查的供应商不足三家的；</w:t>
      </w:r>
    </w:p>
    <w:p>
      <w:pPr>
        <w:pStyle w:val="null3"/>
        <w:ind w:firstLine="480"/>
      </w:pPr>
      <w:r>
        <w:rPr>
          <w:rFonts w:ascii="仿宋_GB2312" w:hAnsi="仿宋_GB2312" w:cs="仿宋_GB2312" w:eastAsia="仿宋_GB2312"/>
        </w:rPr>
        <w:t>六、提交最后报价的供应商不足三家的；</w:t>
      </w:r>
    </w:p>
    <w:p>
      <w:pPr>
        <w:pStyle w:val="null3"/>
        <w:ind w:firstLine="480"/>
      </w:pPr>
      <w:r>
        <w:rPr>
          <w:rFonts w:ascii="仿宋_GB2312" w:hAnsi="仿宋_GB2312" w:cs="仿宋_GB2312" w:eastAsia="仿宋_GB2312"/>
        </w:rPr>
        <w:t>七、通过最后报价审查的供应商不足三家的。</w:t>
      </w:r>
    </w:p>
    <w:p>
      <w:pPr>
        <w:pStyle w:val="null3"/>
        <w:ind w:firstLine="480"/>
      </w:pPr>
      <w:r>
        <w:rPr>
          <w:rFonts w:ascii="仿宋_GB2312" w:hAnsi="仿宋_GB2312" w:cs="仿宋_GB2312" w:eastAsia="仿宋_GB2312"/>
        </w:rPr>
        <w:t>注：公开招标转竞争性谈判只有两家供应商参与的情形除外。</w:t>
      </w:r>
    </w:p>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一、评审结束后，代理机构在评审结束之日起2个工作日内将谈判报告及有关资料送交采购人确定成交供应商。</w:t>
      </w:r>
    </w:p>
    <w:p>
      <w:pPr>
        <w:pStyle w:val="null3"/>
      </w:pPr>
      <w:r>
        <w:rPr>
          <w:rFonts w:ascii="仿宋_GB2312" w:hAnsi="仿宋_GB2312" w:cs="仿宋_GB2312" w:eastAsia="仿宋_GB2312"/>
        </w:rPr>
        <w:t>二、采购人在收到谈判报告后5个工作日内，在谈判报告确定的成交候选供应商名单中按顺序确定1名成交供应商。成交候选供应商并列的，由采购人采取随机抽取的方式确定成交供应商。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三、采购人逾期未确定成交供应商且不提出异议的，视为确定谈判报告提出的排序第一的供应商为成交供应商。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6.6谈判小组成员义务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二、按照客观、公正、审慎的原则，根据竞争性谈判文件规定的评审程序、评审方法和评审标准进行独立评审；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6.7谈判纪律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详见附件：中小企业声明函.docx</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详见附件：响应报价表.docx</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详见附件：本国产品说明</w:t>
      </w:r>
    </w:p>
    <w:p>
      <w:pPr>
        <w:pStyle w:val="null3"/>
        <w:ind w:firstLine="960"/>
      </w:pPr>
      <w:r>
        <w:rPr>
          <w:rFonts w:ascii="仿宋_GB2312" w:hAnsi="仿宋_GB2312" w:cs="仿宋_GB2312" w:eastAsia="仿宋_GB2312"/>
        </w:rPr>
        <w:t>详见附件：技术指标偏差表.docx</w:t>
      </w:r>
    </w:p>
    <w:p>
      <w:pPr>
        <w:pStyle w:val="null3"/>
        <w:ind w:firstLine="960"/>
      </w:pPr>
      <w:r>
        <w:rPr>
          <w:rFonts w:ascii="仿宋_GB2312" w:hAnsi="仿宋_GB2312" w:cs="仿宋_GB2312" w:eastAsia="仿宋_GB2312"/>
        </w:rPr>
        <w:t>详见附件：商务条款响应说明.docx</w:t>
      </w:r>
    </w:p>
    <w:p>
      <w:pPr>
        <w:pStyle w:val="null3"/>
        <w:ind w:firstLine="960"/>
      </w:pPr>
      <w:r>
        <w:rPr>
          <w:rFonts w:ascii="仿宋_GB2312" w:hAnsi="仿宋_GB2312" w:cs="仿宋_GB2312" w:eastAsia="仿宋_GB2312"/>
        </w:rPr>
        <w:t>详见附件：供应商资格条件证明文件.docx</w:t>
      </w:r>
    </w:p>
    <w:p>
      <w:pPr>
        <w:pStyle w:val="null3"/>
        <w:ind w:firstLine="960"/>
      </w:pPr>
      <w:r>
        <w:rPr>
          <w:rFonts w:ascii="仿宋_GB2312" w:hAnsi="仿宋_GB2312" w:cs="仿宋_GB2312" w:eastAsia="仿宋_GB2312"/>
        </w:rPr>
        <w:t>详见附件：供应商承诺书.docx</w:t>
      </w:r>
    </w:p>
    <w:p>
      <w:pPr>
        <w:pStyle w:val="null3"/>
        <w:ind w:firstLine="960"/>
      </w:pPr>
      <w:r>
        <w:rPr>
          <w:rFonts w:ascii="仿宋_GB2312" w:hAnsi="仿宋_GB2312" w:cs="仿宋_GB2312" w:eastAsia="仿宋_GB2312"/>
        </w:rPr>
        <w:t>详见附件：谈判响应方案说明.docx</w:t>
      </w:r>
    </w:p>
    <w:p>
      <w:pPr>
        <w:pStyle w:val="null3"/>
        <w:ind w:firstLine="960"/>
      </w:pPr>
      <w:r>
        <w:rPr>
          <w:rFonts w:ascii="仿宋_GB2312" w:hAnsi="仿宋_GB2312" w:cs="仿宋_GB2312" w:eastAsia="仿宋_GB2312"/>
        </w:rPr>
        <w:t>详见附件：附件：保证金缴纳凭证.docx</w:t>
      </w:r>
    </w:p>
    <w:p>
      <w:pPr>
        <w:pStyle w:val="null3"/>
        <w:ind w:firstLine="960"/>
      </w:pPr>
      <w:r>
        <w:rPr>
          <w:rFonts w:ascii="仿宋_GB2312" w:hAnsi="仿宋_GB2312" w:cs="仿宋_GB2312" w:eastAsia="仿宋_GB2312"/>
        </w:rPr>
        <w:t>详见附件：附件：节能产品政府采购品目清单.docx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