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版本号：政采-勉县-2026-0034420260706001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勉县定军山镇2026年特色旅居村基础设施建设以工代赈项目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政采-勉县-2026-00344</w:t>
      </w:r>
      <w:r>
        <w:br/>
      </w:r>
      <w:r>
        <w:br/>
      </w:r>
      <w:r>
        <w:br/>
      </w:r>
    </w:p>
    <w:p>
      <w:pPr>
        <w:pStyle w:val="null3"/>
        <w:jc w:val="center"/>
        <w:outlineLvl w:val="2"/>
      </w:pPr>
      <w:r>
        <w:rPr>
          <w:rFonts w:ascii="仿宋_GB2312" w:hAnsi="仿宋_GB2312" w:cs="仿宋_GB2312" w:eastAsia="仿宋_GB2312"/>
          <w:sz w:val="28"/>
          <w:b/>
        </w:rPr>
        <w:t>勉县定军山镇人民政府</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勉县定军山镇人民政府</w:t>
      </w:r>
      <w:r>
        <w:rPr>
          <w:rFonts w:ascii="仿宋_GB2312" w:hAnsi="仿宋_GB2312" w:cs="仿宋_GB2312" w:eastAsia="仿宋_GB2312"/>
        </w:rPr>
        <w:t>委托，拟对</w:t>
      </w:r>
      <w:r>
        <w:rPr>
          <w:rFonts w:ascii="仿宋_GB2312" w:hAnsi="仿宋_GB2312" w:cs="仿宋_GB2312" w:eastAsia="仿宋_GB2312"/>
        </w:rPr>
        <w:t>勉县定军山镇2026年特色旅居村基础设施建设以工代赈项目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政采-勉县-2026-00344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勉县定军山镇2026年特色旅居村基础设施建设以工代赈项目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位于勉县定军山镇沈寨村，新建产业道路总长3.3公里，其中1.58公里路面宽度3.5米；1.64公里路面宽度4.5米，0.08公里路面宽度3米；路面结构：18厘米厚水泥混凝土面板+16厘米厚山渣石基层；新建管径0.4米涵洞6道总长30米；新建农田防护浆砌片石挡墙650米，总计2165立方米。(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采购包1（勉县定军山镇2026年特色旅居村基础设施建设以工代赈项目）：属于专门面向中小企业采购。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p>
      <w:pPr>
        <w:pStyle w:val="null3"/>
      </w:pPr>
      <w:r>
        <w:rPr>
          <w:rFonts w:ascii="仿宋_GB2312" w:hAnsi="仿宋_GB2312" w:cs="仿宋_GB2312" w:eastAsia="仿宋_GB2312"/>
        </w:rPr>
        <w:t>2、法定代表人（单位负责人）身份证明或授权委托书：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4、供应商资质要求：供应商须具备建设行政主管部门核发的公路工程施工总承包三级及以上资质，并具备有效的安全生产许可证。</w:t>
      </w:r>
    </w:p>
    <w:p>
      <w:pPr>
        <w:pStyle w:val="null3"/>
      </w:pPr>
      <w:r>
        <w:rPr>
          <w:rFonts w:ascii="仿宋_GB2312" w:hAnsi="仿宋_GB2312" w:cs="仿宋_GB2312" w:eastAsia="仿宋_GB2312"/>
        </w:rPr>
        <w:t>5、拟派项目经理资格要求：拟派项目经理须具备公路工程专业注册建造师二级及以上资格和有效的安全生产考核合格B证，在本单位注册且未担任其他在建工程的项目经理。</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7、非联合体投标声明：本项目不接受联合体投标。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勉县定军山镇人民政府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定军山镇高寨村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勉县定军山镇人民政府经办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13488051333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陕西省汉中市汉台区茶城铭座11层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19992628361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采购包1：3,349,418.00元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开户名称：华夏城投项目管理有限公司汉中分公司</w:t>
            </w:r>
          </w:p>
          <w:p>
            <w:pPr>
              <w:pStyle w:val="null3"/>
            </w:pPr>
            <w:r>
              <w:rPr>
                <w:rFonts w:ascii="仿宋_GB2312" w:hAnsi="仿宋_GB2312" w:cs="仿宋_GB2312" w:eastAsia="仿宋_GB2312"/>
              </w:rPr>
              <w:t>开户银行：中国工商银行汉中市中山街支行</w:t>
            </w:r>
          </w:p>
          <w:p>
            <w:pPr>
              <w:pStyle w:val="null3"/>
            </w:pPr>
            <w:r>
              <w:rPr>
                <w:rFonts w:ascii="仿宋_GB2312" w:hAnsi="仿宋_GB2312" w:cs="仿宋_GB2312" w:eastAsia="仿宋_GB2312"/>
              </w:rPr>
              <w:t>银行账号：2606050209024512194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勉县定军山镇人民政府</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勉县定军山镇人民政府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勉县定军山镇人民政府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联系人：朱峰</w:t>
      </w:r>
    </w:p>
    <w:p>
      <w:pPr>
        <w:pStyle w:val="null3"/>
      </w:pPr>
      <w:r>
        <w:rPr>
          <w:rFonts w:ascii="仿宋_GB2312" w:hAnsi="仿宋_GB2312" w:cs="仿宋_GB2312" w:eastAsia="仿宋_GB2312"/>
        </w:rPr>
        <w:t>联系电话：19992628361</w:t>
      </w:r>
    </w:p>
    <w:p>
      <w:pPr>
        <w:pStyle w:val="null3"/>
      </w:pPr>
      <w:r>
        <w:rPr>
          <w:rFonts w:ascii="仿宋_GB2312" w:hAnsi="仿宋_GB2312" w:cs="仿宋_GB2312" w:eastAsia="仿宋_GB2312"/>
        </w:rPr>
        <w:t>地址：陕西省汉中市汉台区茶城铭座11层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3,349,418.00</w:t>
      </w:r>
    </w:p>
    <w:p>
      <w:pPr>
        <w:pStyle w:val="null3"/>
      </w:pPr>
      <w:r>
        <w:rPr>
          <w:rFonts w:ascii="仿宋_GB2312" w:hAnsi="仿宋_GB2312" w:cs="仿宋_GB2312" w:eastAsia="仿宋_GB2312"/>
        </w:rPr>
        <w:t>采购包最高限价（元）: 3,349,418.00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勉县定军山镇2026年特色旅居村基础设施建设以工代赈项目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3,349,418.00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标的名称：勉县定军山镇2026年特色旅居村基础设施建设以工代赈项目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1、施工范围：施工图纸及工程量清单范围内所含的全部施工内容。</w:t>
            </w:r>
          </w:p>
          <w:p>
            <w:pPr>
              <w:pStyle w:val="null3"/>
            </w:pPr>
            <w:r>
              <w:rPr>
                <w:rFonts w:ascii="仿宋_GB2312" w:hAnsi="仿宋_GB2312" w:cs="仿宋_GB2312" w:eastAsia="仿宋_GB2312"/>
                <w:sz w:val="21"/>
              </w:rPr>
              <w:t>2、工期：合同签订后90日历天。</w:t>
            </w:r>
          </w:p>
          <w:p>
            <w:pPr>
              <w:pStyle w:val="null3"/>
              <w:jc w:val="both"/>
            </w:pPr>
            <w:r>
              <w:rPr>
                <w:rFonts w:ascii="仿宋_GB2312" w:hAnsi="仿宋_GB2312" w:cs="仿宋_GB2312" w:eastAsia="仿宋_GB2312"/>
                <w:sz w:val="21"/>
              </w:rPr>
              <w:t>3、质量标准：合格。</w:t>
            </w:r>
          </w:p>
          <w:p>
            <w:pPr>
              <w:pStyle w:val="null3"/>
              <w:jc w:val="both"/>
            </w:pPr>
            <w:r>
              <w:rPr>
                <w:rFonts w:ascii="仿宋_GB2312" w:hAnsi="仿宋_GB2312" w:cs="仿宋_GB2312" w:eastAsia="仿宋_GB2312"/>
                <w:sz w:val="21"/>
              </w:rPr>
              <w:t>4、安全目标：强化施工全过程安全管理，杜绝重大及以上生产安全责任事故，防范各类一般安全事故发生。</w:t>
            </w:r>
          </w:p>
          <w:p>
            <w:pPr>
              <w:pStyle w:val="null3"/>
            </w:pPr>
            <w:r>
              <w:rPr>
                <w:rFonts w:ascii="仿宋_GB2312" w:hAnsi="仿宋_GB2312" w:cs="仿宋_GB2312" w:eastAsia="仿宋_GB2312"/>
                <w:sz w:val="21"/>
              </w:rPr>
              <w:t>5、缺陷责任期：自实际交工日期起计算 2 年。</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供应商需对照本项目《项目评审办法》，逐项响应全部技术及商务指标，附对应支撑材料并按评审顺序标注，确保无遗漏、符合要求、便核查。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或自然人，并提供合法有效的营业执照（事业单位须事业单位法人证、组织机构代码证等证明文件；其他组织应提供合法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法定代表人（单位负责人）身份证明或授权委托书</w:t>
            </w:r>
          </w:p>
        </w:tc>
        <w:tc>
          <w:tcPr>
            <w:tcW w:type="dxa" w:w="3322"/>
          </w:tcPr>
          <w:p>
            <w:pPr>
              <w:pStyle w:val="null3"/>
            </w:pPr>
            <w:r>
              <w:rPr>
                <w:rFonts w:ascii="仿宋_GB2312" w:hAnsi="仿宋_GB2312" w:cs="仿宋_GB2312" w:eastAsia="仿宋_GB2312"/>
              </w:rPr>
              <w:t>法定代表人（单位负责人）直接参加投标的，须提供法定代表人（单位负责人）身份证明【附法定代表人（单位负责人）身份证复印件】;法定代表人（单位负责人）授权代表参加投标的，须提供法定代表人（单位负责人）授权委托书【附法定代表人（单位负责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拟派项目经理须具备公路工程专业注册建造师二级及以上资格和有效的安全生产考核合格B证，在本单位注册且未担任其他在建工程的项目经理。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磋商响应方案.docx 磋商保证金.docx 已标价工程量清单 中小企业声明函 技术服务合同条款及其他商务要求应答表 响应文件封面 主要人员简历表.docx 残疾人福利性单位声明函 报价函 供应商应提交的相关资格证明材料.pdf 标的清单 供应商类似项目业绩一览表 项目管理机构组成表.pdf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已标价工程量清单 磋商响应方案.docx 磋商保证金.docx 中小企业声明函 技术服务合同条款及其他商务要求应答表 响应文件封面 主要人员简历表.docx 残疾人福利性单位声明函 报价函 供应商应提交的相关资格证明材料.pdf 标的清单 供应商类似项目业绩一览表 项目管理机构组成表.pdf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满足磋商文件的要求，提供磋商保证金缴纳凭证或担保机构出具的保函。</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每一项内容存在缺陷扣0.5分，扣完为止。备注:缺陷是指内容过于简单、不完善、前后表述不一致、套用其他项目方案或与项目需求不匹配、凭空编造、出现常识性错误及其他不利于项目实施等任意一种情形。） ①工程重难点及解决措施：每完全满足一个评审标准得2分，满分6分； ②工程施工方法：每完全满足一个评审标准得2分，满分6分； ③施工质量通病防治措施：每完全满足一个评审标准得1分，满分3分。四、以上内容未提供得0分。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1、完整性：内容必须全面，对评审内容中的各项要求有详细描述； 2、可实施性：切合本项目实际情况，实施步骤清晰、合理； 3、针对性：能够紧扣项目实际情况，内容科学合理。 三、赋分标准（每一项内容存在缺陷扣0.5分，扣完为止。备注:缺陷是指内容过于简单、不完善、前后表述不一致、套用其他项目方案或与项目需求不匹配、凭空编造、出现常识性错误及其他不利于项目实施等任意一种情形。）①施工目标：每完全满足一个评审标准得1分，满分3分； ②施工准备：每完全满足一个评审标准得1分，满分3分； ③施工平面布置与安排：每完全满足一个评审标准得1分，满分3分。四、以上内容未提供得0分。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供应商针对本项目编制完善的施工进度计划，内容包含：①施工进度目标和施工进度计划表②进度计划保证措施③工期保证措施。 二、评审标准 1、完整性：计划必须全面，对评审内容中的各项要求有详细描述； 2、可实施性：切合本项目实际情况，实施步骤清晰、合理； 3、针对性：能够紧扣项目实际情况，内容科学合理。 三、赋分标准 （每一项内容存在缺陷扣0.5分，扣完为止。备注:缺陷是指内容过于简单、不完善、前后表述不一致、套用其他项目方案或与项目需求不匹配、凭空编造、出现常识性错误及其他不利于项目实施等任意一种情形。）①施工进度目标和施工进度计划表：每完全满足一个评审标准得1分，满分3分； ②进度计划保证措施：每完全满足一个评审标准得1分，满分3分； ③工期保证措施：每完全满足一个评审标准得1分，满分3分。四、以上内容未提供得0分。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1、完整性：措施必须全面，对评审内容中的各项要求有详细描述； 2、可实施性：切合本项目实际情况，实施步骤清晰、合理； 3、针对性：能够紧扣项目实际情况 ，内容科学合理。 三、赋分标准（每一项内容存在缺陷扣0.5分，扣完为止。备注:缺陷是指内容过于简单、不完善、前后表述不一致、套用其他项目方案或与项目需求不匹配、凭空编造、出现常识性错误及其他不利于项目实施等任意一种情形。） ①质量目标管理体系：每完全满足一个评审标准得1分，满分3分； ②施工质量检验制度：每完全满足一个评审标准得1分，满分3分； ③确保质量的技术组织措施：每完全满足一个评审标准得1分，满分3分； ④施工质量控制措施：每完全满足一个评审标准得1分，满分3分。四、以上内容未提供得0分。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安全文明施工与环保措施</w:t>
            </w:r>
          </w:p>
        </w:tc>
        <w:tc>
          <w:tcPr>
            <w:tcW w:type="dxa" w:w="2492"/>
          </w:tcPr>
          <w:p>
            <w:pPr>
              <w:pStyle w:val="null3"/>
            </w:pPr>
            <w:r>
              <w:rPr>
                <w:rFonts w:ascii="仿宋_GB2312" w:hAnsi="仿宋_GB2312" w:cs="仿宋_GB2312" w:eastAsia="仿宋_GB2312"/>
              </w:rPr>
              <w:t>一、评审内容 供应商应针对本项目实际情况编制安全文明施工与环保措施，包含但不限于①安全防护、②交通导行、③扬尘/噪音/污水控制、④建筑垃圾处理。 二、评审标准 1.可实施性：切合本项目实际情况，提出步骤清晰、满足需求的方案。 2.针对性：方案能够紧扣项目实际情况，内容科学合理。 三、赋分标准（每一项内容存在缺陷扣0.5分，扣完为止。备注:缺陷是指内容过于简单、不完善、前后表述不一致、套用其他项目方案或与项目需求不匹配、凭空编造、出现常识性错误及其他不利于项目实施等任意一种情形。） ①安全防护：每完全满足一个评审标准得1分，满分2分。 ②交通导行：每完全满足一个评审标准得1分，满分2分。 ③扬尘/噪音/污水控制：每完全满足一个评审标准得1分，满分2分。 ④建筑垃圾处理：每完全满足一个评审标准得1分，满分2分。四、以上内容未提供得0分。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供应商针对本项目编制完善的后期服务方案，内容包含：①服务范围及后期保障措施②突发事件处理时限与措施③保修期④定期回访维护措施。 二、评审标准 1、完整性：方案必须全面，对评审内容中的各项要求有详细描述； 2、可实施性：切合本项目实际情况，提出步骤清晰、合理的方案； 3、针对性：能够紧扣项目实际情况，内容科学合理。 三、赋分标准（针每一项内容存在缺陷扣0.5分，扣完为止。备注:缺陷是指内容过于简单、不完善、前后表述不一致、套用其他项目方案或与项目需求不匹配、凭空编造、出现常识性错误及其他不利于项目实施等任意一种情形。） ①服务范围及后期保障措施：每完全满足一个评审标准得0.5分，满分1.5分； ②突发事件处理时限与措施：每完全满足一个评审标准得0.5分，满分1.5分；③保修期：每完全满足一个评审标准得0.5分，满分1.5分；④定期回访维护措施：每完全满足一个评审标准得0.5分，满分1.5分。四、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一、拟派的项目经理具有公路工程相关专业中级及以上技术职称得2分；具有公路工程相关专业初级技术职称得1分；注：同一人员多职称按就高不就低原则计分，不累计加分，须提供身份证、职称证书扫描件或复印件及响应⽂件递交截⽌⽇前6个⽉内任意一个⽉的社保缴纳证明材料（社保缴纳单位须与供应商单位名称⼀致）并加盖单位公章，退休人员无需提供社保，须附退休证明，提供材料不全、不符或未提供的本项不得分。 二、项目经理提供近三年2023年1月1日至磋商公告发布之日类似项目业绩（时间以合同签订时间为准），提供 1 个得2 分，满分2分。（注：业绩须为以项目经理身份任职完成的类似项目业绩， 须提供中标通知书、协议书（合同）、完工证明或竣工验收证明的扫描件或复印件并加盖供应商公章，否则不作为加分项，材料不全、无法体现项目经理任职信息或不符合要求的，本项业绩不予计分；本项业绩不与企业业绩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项目管理机构组成表.pdf</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项目总工</w:t>
            </w:r>
          </w:p>
        </w:tc>
        <w:tc>
          <w:tcPr>
            <w:tcW w:type="dxa" w:w="2492"/>
          </w:tcPr>
          <w:p>
            <w:pPr>
              <w:pStyle w:val="null3"/>
            </w:pPr>
            <w:r>
              <w:rPr>
                <w:rFonts w:ascii="仿宋_GB2312" w:hAnsi="仿宋_GB2312" w:cs="仿宋_GB2312" w:eastAsia="仿宋_GB2312"/>
              </w:rPr>
              <w:t>拟派的项目总工具有公路工程相关专业中级及以上技术职称得2分；具有公路工程相关专业初级技术职称得1分；注：同一人员多职称按就高不就低原则计分，不累计加分，须提供身份证、职称证书扫描件或复印件及响应⽂件递交截⽌⽇前6个⽉内任意一个⽉的社保缴纳证明材料（社保缴纳单位须与供应商单位名称⼀致）并加盖单位公章，退休人员无需提供社保，须附退休证明，提供材料不全、不符或未提供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项目管理机构组成表.pdf</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2023年1月1日至磋商公告发布之日类似项目业绩（时间以合同签订时间为准），提供一个得2.5分，最高可得5分，注：须提供中标通知书、协议书（合同）、完工证明或竣工验收证明的扫描件或复印件并加盖供应商公章；否则不作为加分项。其次，项目经理业绩不能同时作为企业业绩重复使用，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磋商报价得分=(磋商基准价／最后磋商报价)×价格分值计算分数时四舍五入取小数点后两位。注：磋商小组三分之二以上人员认为某最后磋商报价有低于成本价嫌疑的，该报价为无效报价。 注：本项目为专门面向中小企业项目，不再执行价格评审优惠的扶持政策。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详见附件：项目管理机构组成表.pdf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