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5244F7F">
      <w:pPr>
        <w:spacing w:line="480" w:lineRule="auto"/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为具有独立承担民事责任能力的法人、其他组织或自然人。企业法人应提供合法有效的标识有统一社会信用代码的营业执照；事业法人应提供事业单位法人证书；其他组织应提供合法登记证明文件；自然人应提供身份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。</w:t>
      </w:r>
    </w:p>
    <w:p w14:paraId="6ECE9A62">
      <w:pPr>
        <w:ind w:left="559" w:leftChars="266" w:firstLine="0" w:firstLineChars="0"/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2421A49"/>
    <w:rsid w:val="219F1439"/>
    <w:rsid w:val="355B7D16"/>
    <w:rsid w:val="425E1812"/>
    <w:rsid w:val="49CC64A2"/>
    <w:rsid w:val="4FDA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4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8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71"/>
    <w:basedOn w:val="6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0">
    <w:name w:val="font8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91"/>
    <w:basedOn w:val="6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2026-02-09T01:13:10Z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BB7D5979641B48899AE09C14F29FB466_13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