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版本号：ZDZC202607090120260716001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2026年优质蜂糖李种植及配套设施建设项目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ZDZC2026070901</w:t>
      </w:r>
      <w:r>
        <w:br/>
      </w:r>
      <w:r>
        <w:br/>
      </w:r>
      <w:r>
        <w:br/>
      </w:r>
    </w:p>
    <w:p>
      <w:pPr>
        <w:pStyle w:val="null3"/>
        <w:jc w:val="center"/>
        <w:outlineLvl w:val="2"/>
      </w:pPr>
      <w:r>
        <w:rPr>
          <w:rFonts w:ascii="仿宋_GB2312" w:hAnsi="仿宋_GB2312" w:cs="仿宋_GB2312" w:eastAsia="仿宋_GB2312"/>
          <w:sz w:val="28"/>
          <w:b/>
        </w:rPr>
        <w:t>城固县董家营镇人民政府</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城固县董家营镇人民政府</w:t>
      </w:r>
      <w:r>
        <w:rPr>
          <w:rFonts w:ascii="仿宋_GB2312" w:hAnsi="仿宋_GB2312" w:cs="仿宋_GB2312" w:eastAsia="仿宋_GB2312"/>
        </w:rPr>
        <w:t>委托，拟对</w:t>
      </w:r>
      <w:r>
        <w:rPr>
          <w:rFonts w:ascii="仿宋_GB2312" w:hAnsi="仿宋_GB2312" w:cs="仿宋_GB2312" w:eastAsia="仿宋_GB2312"/>
        </w:rPr>
        <w:t>2026年优质蜂糖李种植及配套设施建设项目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ZDZC2026070901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2026年优质蜂糖李种植及配套设施建设项目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 建设地点：城固县董家营镇合丰村； 2 建设内容： （1）现有蜂糖李园改造（含老化果树换代、新栽10亩1000株，生产道路硬化1250平方米，园区隔离网700平方米）； （2）购买蜂糖李树苗2000株、新建蜂糖李园20亩，园区隔离网600平方米。 3 项目投资总额：65.00 万元； 4 计划工期：60 日历天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采购包1（2026年优质蜂糖李种植及配套设施建设项目）：属于专门面向中小企业采购。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2、供应商资格承诺函：供应商提供《汉中市政府采购供应商资格承诺函》；</w:t>
      </w:r>
    </w:p>
    <w:p>
      <w:pPr>
        <w:pStyle w:val="null3"/>
      </w:pPr>
      <w:r>
        <w:rPr>
          <w:rFonts w:ascii="仿宋_GB2312" w:hAnsi="仿宋_GB2312" w:cs="仿宋_GB2312" w:eastAsia="仿宋_GB2312"/>
        </w:rPr>
        <w:t>3、供应商信誉：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4、供应商资质：投标供应商必须具备建设行政主管部门核发的市政公用工程施工总承包三级以上（含三级）资质；取得建设行政主管部门颁发的安全生产许可证，并在人员、设备、资金等方面具有相应的施工能力；项目经理须具有市政公用工程二级以上（含二级）注册建造师执业资格证书，并具有B类安全考核合格证书，无在建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城固县董家营镇人民政府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城固县董家营镇徐李湾社区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城固县董家营镇人民政府经办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13630266656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18092099688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发展改革委关于进一步放开建设项目专业服务价格的通知》（发改价格〔2015〕299号）和国家发改委办公厅颁发的《关于招标代理服务收费有关问题的通知》《关于工程造价咨询服务收费标准有关问题的通知》（陕价行发【2014】88号）文件规定标准，在办结成交通知书前缴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城固县董家营镇人民政府</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城固县董家营镇人民政府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城固县董家营镇人民政府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联系电话：18789478749</w:t>
      </w:r>
    </w:p>
    <w:p>
      <w:pPr>
        <w:pStyle w:val="null3"/>
      </w:pPr>
      <w:r>
        <w:rPr>
          <w:rFonts w:ascii="仿宋_GB2312" w:hAnsi="仿宋_GB2312" w:cs="仿宋_GB2312" w:eastAsia="仿宋_GB2312"/>
        </w:rPr>
        <w:t>地址：汉中市汉台区东关街道办事处盛世国际 写字楼2号楼1109室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（1）现有蜂糖李园改造（含老化果树换代、新栽10亩1000株，生产道路硬化1250平方米，园区隔离网700平方米）； （2）购买蜂糖李树苗2000株、新建蜂糖李园20亩，园区隔离网600平方米。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2026年优质蜂糖李种植及配套设施建设项目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标的名称：2026年优质蜂糖李种植及配套设施建设项目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2"/>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一级成品苗（项目采购最低标准）</w:t>
            </w:r>
          </w:p>
          <w:p>
            <w:pPr>
              <w:pStyle w:val="null3"/>
              <w:jc w:val="left"/>
            </w:pPr>
            <w:r>
              <w:rPr>
                <w:rFonts w:ascii="仿宋_GB2312" w:hAnsi="仿宋_GB2312" w:cs="仿宋_GB2312" w:eastAsia="仿宋_GB2312"/>
                <w:sz w:val="24"/>
                <w:color w:val="000000"/>
              </w:rPr>
              <w:t>苗高</w:t>
            </w:r>
            <w:r>
              <w:rPr>
                <w:rFonts w:ascii="仿宋_GB2312" w:hAnsi="仿宋_GB2312" w:cs="仿宋_GB2312" w:eastAsia="仿宋_GB2312"/>
                <w:sz w:val="24"/>
                <w:color w:val="000000"/>
              </w:rPr>
              <w:t>≥120cm</w:t>
            </w:r>
            <w:r>
              <w:rPr>
                <w:rFonts w:ascii="仿宋_GB2312" w:hAnsi="仿宋_GB2312" w:cs="仿宋_GB2312" w:eastAsia="仿宋_GB2312"/>
                <w:sz w:val="24"/>
                <w:color w:val="000000"/>
              </w:rPr>
              <w:t>，地径</w:t>
            </w:r>
            <w:r>
              <w:rPr>
                <w:rFonts w:ascii="仿宋_GB2312" w:hAnsi="仿宋_GB2312" w:cs="仿宋_GB2312" w:eastAsia="仿宋_GB2312"/>
                <w:sz w:val="24"/>
                <w:color w:val="000000"/>
              </w:rPr>
              <w:t>≥1.0cm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侧根</w:t>
            </w:r>
            <w:r>
              <w:rPr>
                <w:rFonts w:ascii="仿宋_GB2312" w:hAnsi="仿宋_GB2312" w:cs="仿宋_GB2312" w:eastAsia="仿宋_GB2312"/>
                <w:sz w:val="24"/>
                <w:color w:val="000000"/>
              </w:rPr>
              <w:t xml:space="preserve">≥6 </w:t>
            </w:r>
            <w:r>
              <w:rPr>
                <w:rFonts w:ascii="仿宋_GB2312" w:hAnsi="仿宋_GB2312" w:cs="仿宋_GB2312" w:eastAsia="仿宋_GB2312"/>
                <w:sz w:val="24"/>
                <w:color w:val="000000"/>
              </w:rPr>
              <w:t>条，主根长</w:t>
            </w:r>
            <w:r>
              <w:rPr>
                <w:rFonts w:ascii="仿宋_GB2312" w:hAnsi="仿宋_GB2312" w:cs="仿宋_GB2312" w:eastAsia="仿宋_GB2312"/>
                <w:sz w:val="24"/>
                <w:color w:val="000000"/>
              </w:rPr>
              <w:t>≥25cm</w:t>
            </w:r>
            <w:r>
              <w:rPr>
                <w:rFonts w:ascii="仿宋_GB2312" w:hAnsi="仿宋_GB2312" w:cs="仿宋_GB2312" w:eastAsia="仿宋_GB2312"/>
                <w:sz w:val="24"/>
                <w:color w:val="000000"/>
              </w:rPr>
              <w:t>，无断根腐烂；</w:t>
            </w:r>
          </w:p>
          <w:p>
            <w:pPr>
              <w:pStyle w:val="null3"/>
              <w:jc w:val="left"/>
            </w:pPr>
            <w:r>
              <w:rPr>
                <w:rFonts w:ascii="仿宋_GB2312" w:hAnsi="仿宋_GB2312" w:cs="仿宋_GB2312" w:eastAsia="仿宋_GB2312"/>
                <w:sz w:val="24"/>
                <w:color w:val="000000"/>
              </w:rPr>
              <w:t>饱满芽</w:t>
            </w: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个，无穿孔、蚜虫、根癌病；</w:t>
            </w:r>
          </w:p>
          <w:p>
            <w:pPr>
              <w:pStyle w:val="null3"/>
              <w:jc w:val="left"/>
            </w:pPr>
            <w:r>
              <w:rPr>
                <w:rFonts w:ascii="仿宋_GB2312" w:hAnsi="仿宋_GB2312" w:cs="仿宋_GB2312" w:eastAsia="仿宋_GB2312"/>
                <w:sz w:val="24"/>
                <w:color w:val="000000"/>
              </w:rPr>
              <w:t>检疫：持有苗木植物检疫证书，杜绝李实蜂、根瘤菌苗木带入。</w:t>
            </w:r>
          </w:p>
          <w:p>
            <w:pPr>
              <w:pStyle w:val="null3"/>
              <w:jc w:val="left"/>
              <w:outlineLvl w:val="2"/>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栽植时间</w:t>
            </w:r>
          </w:p>
          <w:p>
            <w:pPr>
              <w:pStyle w:val="null3"/>
              <w:jc w:val="left"/>
            </w:pPr>
            <w:r>
              <w:rPr>
                <w:rFonts w:ascii="仿宋_GB2312" w:hAnsi="仿宋_GB2312" w:cs="仿宋_GB2312" w:eastAsia="仿宋_GB2312"/>
                <w:sz w:val="24"/>
                <w:color w:val="000000"/>
              </w:rPr>
              <w:t>秋季</w:t>
            </w:r>
            <w:r>
              <w:rPr>
                <w:rFonts w:ascii="仿宋_GB2312" w:hAnsi="仿宋_GB2312" w:cs="仿宋_GB2312" w:eastAsia="仿宋_GB2312"/>
                <w:sz w:val="24"/>
                <w:color w:val="000000"/>
              </w:rPr>
              <w:t xml:space="preserve"> 10–11 月、春季 2–3 月萌芽前；霜冻严重区域优先秋植。</w:t>
            </w:r>
          </w:p>
          <w:p>
            <w:pPr>
              <w:pStyle w:val="null3"/>
              <w:jc w:val="left"/>
              <w:outlineLvl w:val="2"/>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定植密度</w:t>
            </w:r>
          </w:p>
          <w:p>
            <w:pPr>
              <w:pStyle w:val="null3"/>
              <w:jc w:val="left"/>
            </w:pPr>
            <w:r>
              <w:rPr>
                <w:rFonts w:ascii="仿宋_GB2312" w:hAnsi="仿宋_GB2312" w:cs="仿宋_GB2312" w:eastAsia="仿宋_GB2312"/>
                <w:sz w:val="24"/>
                <w:color w:val="000000"/>
              </w:rPr>
              <w:t>地标准化：行距</w:t>
            </w:r>
            <w:r>
              <w:rPr>
                <w:rFonts w:ascii="仿宋_GB2312" w:hAnsi="仿宋_GB2312" w:cs="仿宋_GB2312" w:eastAsia="仿宋_GB2312"/>
                <w:sz w:val="24"/>
                <w:color w:val="000000"/>
              </w:rPr>
              <w:t xml:space="preserve"> 5m× </w:t>
            </w:r>
            <w:r>
              <w:rPr>
                <w:rFonts w:ascii="仿宋_GB2312" w:hAnsi="仿宋_GB2312" w:cs="仿宋_GB2312" w:eastAsia="仿宋_GB2312"/>
                <w:sz w:val="24"/>
                <w:color w:val="000000"/>
              </w:rPr>
              <w:t xml:space="preserve">株距 </w:t>
            </w:r>
            <w:r>
              <w:rPr>
                <w:rFonts w:ascii="仿宋_GB2312" w:hAnsi="仿宋_GB2312" w:cs="仿宋_GB2312" w:eastAsia="仿宋_GB2312"/>
                <w:sz w:val="24"/>
                <w:color w:val="000000"/>
              </w:rPr>
              <w:t>4m</w:t>
            </w:r>
            <w:r>
              <w:rPr>
                <w:rFonts w:ascii="仿宋_GB2312" w:hAnsi="仿宋_GB2312" w:cs="仿宋_GB2312" w:eastAsia="仿宋_GB2312"/>
                <w:sz w:val="24"/>
                <w:color w:val="000000"/>
              </w:rPr>
              <w:t xml:space="preserve">，每亩 </w:t>
            </w:r>
            <w:r>
              <w:rPr>
                <w:rFonts w:ascii="仿宋_GB2312" w:hAnsi="仿宋_GB2312" w:cs="仿宋_GB2312" w:eastAsia="仿宋_GB2312"/>
                <w:sz w:val="24"/>
                <w:color w:val="000000"/>
              </w:rPr>
              <w:t xml:space="preserve">33 </w:t>
            </w:r>
            <w:r>
              <w:rPr>
                <w:rFonts w:ascii="仿宋_GB2312" w:hAnsi="仿宋_GB2312" w:cs="仿宋_GB2312" w:eastAsia="仿宋_GB2312"/>
                <w:sz w:val="24"/>
                <w:color w:val="000000"/>
              </w:rPr>
              <w:t>株；</w:t>
            </w:r>
          </w:p>
          <w:p>
            <w:pPr>
              <w:pStyle w:val="null3"/>
              <w:jc w:val="left"/>
              <w:outlineLvl w:val="2"/>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定植穴规格</w:t>
            </w:r>
          </w:p>
          <w:p>
            <w:pPr>
              <w:pStyle w:val="null3"/>
              <w:jc w:val="left"/>
            </w:pPr>
            <w:r>
              <w:rPr>
                <w:rFonts w:ascii="仿宋_GB2312" w:hAnsi="仿宋_GB2312" w:cs="仿宋_GB2312" w:eastAsia="仿宋_GB2312"/>
                <w:sz w:val="24"/>
                <w:color w:val="000000"/>
              </w:rPr>
              <w:t>长宽深</w:t>
            </w:r>
            <w:r>
              <w:rPr>
                <w:rFonts w:ascii="仿宋_GB2312" w:hAnsi="仿宋_GB2312" w:cs="仿宋_GB2312" w:eastAsia="仿宋_GB2312"/>
                <w:sz w:val="24"/>
                <w:color w:val="000000"/>
              </w:rPr>
              <w:t xml:space="preserve"> 80cm×80cm×60cm；底层 20cm 秸秆 + 腐熟有机肥 30kg / 穴 + 钙镁磷肥 1kg，分层回填，杜绝生粪直接接触根系。</w:t>
            </w:r>
          </w:p>
          <w:p>
            <w:pPr>
              <w:pStyle w:val="null3"/>
              <w:jc w:val="left"/>
              <w:outlineLvl w:val="2"/>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栽植操作</w:t>
            </w:r>
          </w:p>
          <w:p>
            <w:pPr>
              <w:pStyle w:val="null3"/>
              <w:jc w:val="left"/>
            </w:pPr>
            <w:r>
              <w:rPr>
                <w:rFonts w:ascii="仿宋_GB2312" w:hAnsi="仿宋_GB2312" w:cs="仿宋_GB2312" w:eastAsia="仿宋_GB2312"/>
                <w:sz w:val="24"/>
                <w:color w:val="000000"/>
              </w:rPr>
              <w:t>苗木根系蘸生根粉</w:t>
            </w:r>
            <w:r>
              <w:rPr>
                <w:rFonts w:ascii="仿宋_GB2312" w:hAnsi="仿宋_GB2312" w:cs="仿宋_GB2312" w:eastAsia="仿宋_GB2312"/>
                <w:sz w:val="24"/>
                <w:color w:val="000000"/>
              </w:rPr>
              <w:t xml:space="preserve"> + </w:t>
            </w:r>
            <w:r>
              <w:rPr>
                <w:rFonts w:ascii="仿宋_GB2312" w:hAnsi="仿宋_GB2312" w:cs="仿宋_GB2312" w:eastAsia="仿宋_GB2312"/>
                <w:sz w:val="24"/>
                <w:color w:val="000000"/>
              </w:rPr>
              <w:t>石硫合剂消毒；</w:t>
            </w:r>
          </w:p>
          <w:p>
            <w:pPr>
              <w:pStyle w:val="null3"/>
              <w:jc w:val="left"/>
            </w:pPr>
            <w:r>
              <w:rPr>
                <w:rFonts w:ascii="仿宋_GB2312" w:hAnsi="仿宋_GB2312" w:cs="仿宋_GB2312" w:eastAsia="仿宋_GB2312"/>
                <w:sz w:val="24"/>
                <w:color w:val="000000"/>
              </w:rPr>
              <w:t>嫁接口高出地面</w:t>
            </w:r>
            <w:r>
              <w:rPr>
                <w:rFonts w:ascii="仿宋_GB2312" w:hAnsi="仿宋_GB2312" w:cs="仿宋_GB2312" w:eastAsia="仿宋_GB2312"/>
                <w:sz w:val="24"/>
                <w:color w:val="000000"/>
              </w:rPr>
              <w:t xml:space="preserve"> 10cm</w:t>
            </w:r>
            <w:r>
              <w:rPr>
                <w:rFonts w:ascii="仿宋_GB2312" w:hAnsi="仿宋_GB2312" w:cs="仿宋_GB2312" w:eastAsia="仿宋_GB2312"/>
                <w:sz w:val="24"/>
                <w:color w:val="000000"/>
              </w:rPr>
              <w:t>，根系舒展，分层踩实；</w:t>
            </w:r>
          </w:p>
          <w:p>
            <w:pPr>
              <w:pStyle w:val="null3"/>
              <w:jc w:val="left"/>
            </w:pPr>
            <w:r>
              <w:rPr>
                <w:rFonts w:ascii="仿宋_GB2312" w:hAnsi="仿宋_GB2312" w:cs="仿宋_GB2312" w:eastAsia="仿宋_GB2312"/>
                <w:sz w:val="24"/>
                <w:color w:val="000000"/>
              </w:rPr>
              <w:t>定植后浇透定根水，树盘秸秆覆盖</w:t>
            </w:r>
            <w:r>
              <w:rPr>
                <w:rFonts w:ascii="仿宋_GB2312" w:hAnsi="仿宋_GB2312" w:cs="仿宋_GB2312" w:eastAsia="仿宋_GB2312"/>
                <w:sz w:val="24"/>
                <w:color w:val="000000"/>
              </w:rPr>
              <w:t xml:space="preserve"> 10cm </w:t>
            </w:r>
            <w:r>
              <w:rPr>
                <w:rFonts w:ascii="仿宋_GB2312" w:hAnsi="仿宋_GB2312" w:cs="仿宋_GB2312" w:eastAsia="仿宋_GB2312"/>
                <w:sz w:val="24"/>
                <w:color w:val="000000"/>
              </w:rPr>
              <w:t>保湿抑草。</w:t>
            </w:r>
          </w:p>
          <w:p>
            <w:pPr>
              <w:pStyle w:val="null3"/>
              <w:jc w:val="left"/>
              <w:outlineLvl w:val="2"/>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绿色病虫害综合防控</w:t>
            </w:r>
          </w:p>
          <w:p>
            <w:pPr>
              <w:pStyle w:val="null3"/>
              <w:jc w:val="left"/>
            </w:pPr>
            <w:r>
              <w:rPr>
                <w:rFonts w:ascii="仿宋_GB2312" w:hAnsi="仿宋_GB2312" w:cs="仿宋_GB2312" w:eastAsia="仿宋_GB2312"/>
                <w:sz w:val="24"/>
                <w:color w:val="000000"/>
              </w:rPr>
              <w:t>优先物理、生物防治：杀虫灯、粘虫板、捕食螨；</w:t>
            </w:r>
          </w:p>
          <w:p>
            <w:pPr>
              <w:pStyle w:val="null3"/>
              <w:jc w:val="left"/>
            </w:pPr>
            <w:r>
              <w:rPr>
                <w:rFonts w:ascii="仿宋_GB2312" w:hAnsi="仿宋_GB2312" w:cs="仿宋_GB2312" w:eastAsia="仿宋_GB2312"/>
                <w:sz w:val="24"/>
                <w:color w:val="000000"/>
              </w:rPr>
              <w:t>化学农药执行</w:t>
            </w:r>
            <w:r>
              <w:rPr>
                <w:rFonts w:ascii="仿宋_GB2312" w:hAnsi="仿宋_GB2312" w:cs="仿宋_GB2312" w:eastAsia="仿宋_GB2312"/>
                <w:sz w:val="24"/>
                <w:color w:val="000000"/>
              </w:rPr>
              <w:t xml:space="preserve"> NY/T393</w:t>
            </w:r>
            <w:r>
              <w:rPr>
                <w:rFonts w:ascii="仿宋_GB2312" w:hAnsi="仿宋_GB2312" w:cs="仿宋_GB2312" w:eastAsia="仿宋_GB2312"/>
                <w:sz w:val="24"/>
                <w:color w:val="000000"/>
              </w:rPr>
              <w:t>，采前安全间隔期</w:t>
            </w:r>
            <w:r>
              <w:rPr>
                <w:rFonts w:ascii="仿宋_GB2312" w:hAnsi="仿宋_GB2312" w:cs="仿宋_GB2312" w:eastAsia="仿宋_GB2312"/>
                <w:sz w:val="24"/>
                <w:color w:val="000000"/>
              </w:rPr>
              <w:t>≥25</w:t>
            </w:r>
            <w:r>
              <w:rPr>
                <w:rFonts w:ascii="仿宋_GB2312" w:hAnsi="仿宋_GB2312" w:cs="仿宋_GB2312" w:eastAsia="仿宋_GB2312"/>
                <w:sz w:val="24"/>
                <w:color w:val="000000"/>
              </w:rPr>
              <w:t>天；</w:t>
            </w:r>
          </w:p>
          <w:p>
            <w:pPr>
              <w:pStyle w:val="null3"/>
              <w:jc w:val="left"/>
            </w:pPr>
            <w:r>
              <w:rPr>
                <w:rFonts w:ascii="仿宋_GB2312" w:hAnsi="仿宋_GB2312" w:cs="仿宋_GB2312" w:eastAsia="仿宋_GB2312"/>
                <w:sz w:val="24"/>
                <w:color w:val="000000"/>
              </w:rPr>
              <w:t>重点防控：李实蜂、穿孔病、流胶病、褐腐病；冬季清园石硫合剂全园喷施；</w:t>
            </w:r>
          </w:p>
          <w:p>
            <w:pPr>
              <w:pStyle w:val="null3"/>
              <w:jc w:val="left"/>
            </w:pPr>
            <w:r>
              <w:rPr>
                <w:rFonts w:ascii="仿宋_GB2312" w:hAnsi="仿宋_GB2312" w:cs="仿宋_GB2312" w:eastAsia="仿宋_GB2312"/>
                <w:sz w:val="24"/>
                <w:color w:val="000000"/>
              </w:rPr>
              <w:t>全年农事、用药、施肥建立标准化生产档案。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1、本项目实行苗木进场验收、定植中间验收、项目竣工验收、管护期满最终移交验收四级验收。项目整体竣工验收合格之日起，计算 24 个月苗木管护抚育期及道路、围挡工程保修期。 2、苗木进场验收：中标苗木须为嫁接蜂糖李合格苗，品种纯正、根系发达、无检疫性病虫害，提供苗木检疫证明，不合格苗木严禁定植。 3、定植验收：定植点位、株行距、栽植深度、授粉树配置、园地排水满足技术方案要求。 4、管护期满最终移交验收：抚育期满开展全面清点核查，蜂糖李苗木成活率不低于 95%；枯死苗、品种不符苗木由中标人完成无偿补植且正常成活，园地抚育管护工作落实到位，管护资料齐全方可完成移交。 5、道路硬化、围挡工程按照施工方案开展完工竣工验收，核查结构尺寸、施工工艺、外观及排水配套。 6、验收方式采用现场实地核查、实测实量、分区清点相结合；验收不合格，中标人须在限期内完成整改，整改完成复验合格后方可通过验收。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预付款，合同生效，乙方提交合规发票，达到付款条件起7个工作日内，支付合同总金额的30.0%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进度款，项目全部完工(整地定植、道路硬化、围挡施工全部完成)，通过初步竣工验收，乙方提交竣工资料，审核完成后支付，达到付款条件起15个工作日内，支付合同总金额的60.0%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自初步竣工验收合格之日起满24个月管护抚育期，完成管护期满最终移交验收，苗木成活率≥95%、道路及围挡无质量缺陷，乙方完成全部补植、整改工作后，甲方一次性无息付清剩余全部款项，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供应商必须具备建设行政主管部门核发的市政公用工程施工总承包三级以上（含三级）资质；取得建设行政主管部门颁发的安全生产许可证，并在人员、设备、资金等方面具有相应的施工能力；项目经理须具有市政公用工程二级以上（含二级）注册建造师执业资格证书，并具有B类安全考核合格证书，无在建项目；</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供应商针对蜂糖李种植及配套建设项目提出适用的实施方案。包括但不限于：1、项目目标及认知；2、项目实施重点难点分析；3、总体实施方案 (包括但不限于：①整地；②挖穴；③栽植要点；④中耕除草；⑤ 病虫害防治；⑥路基平整；⑦路面浇筑与养护；⑧路肩及排水沟；⑨种植区围挡等) ；4、水肥与灌溉管理；5、质量保证措施；6、进度保障措施；7、应急及风险防控措施 (包括但不限于①气象灾害应急方案；②病虫害防治措施；③种苗供应应急方案；④道路浇筑过程的应急方案)；8、后期管护措施。以上各项内容全面明确、阐述条理清晰得 40分，每缺一项扣5分，每项中的内容存在缺陷，扣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蜂糖李种植及配套建设项目提出相应的服务承诺。包括但不限于：1、苗木管护、成活率及补植承诺（包含管护起始时间、管护期限）；2、道路硬化、围挡配套工程质保承诺；3、技术培训与专项技术指导承诺。以上承诺条款得9分，每缺一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拟派项目组成人员</w:t>
            </w:r>
          </w:p>
        </w:tc>
        <w:tc>
          <w:tcPr>
            <w:tcW w:type="dxa" w:w="2492"/>
          </w:tcPr>
          <w:p>
            <w:pPr>
              <w:pStyle w:val="null3"/>
            </w:pPr>
            <w:r>
              <w:rPr>
                <w:rFonts w:ascii="仿宋_GB2312" w:hAnsi="仿宋_GB2312" w:cs="仿宋_GB2312" w:eastAsia="仿宋_GB2312"/>
              </w:rPr>
              <w:t>拟派项目经理为高级职称得1.0分，中级职称得0.5分，其他不得分。 拟派技术负责人为高级职称得1.0分，中级职称得0.5分，其他不得分。 供应商每提供项目团队技术人员相关证明复印件1人，得1.0分，此项最高得5.0分； 注：须提供项目经理、技术负责人、项目团队人员身份证、毕业张、职称证书、岗位证书等复印件，其中：项目经理、技术负责人和安全员还应提供安全生产考核合格证书，未提供相关证明材料，此项不得分。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供应商提供2022年1月1日至今完成的类似业绩，每提供一个得2分，该项最高4分，没有不得分（响应文件中应附中标通知书或施工合同或交工验收证书）；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2、以满足本次磋商文件要求的最低报价为评标基准价，其价格为满分；3、供应商报价得分= (评标基准价/投标报价) × 40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