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版本号：SZT2026-SN-QC-ZC-FW-044520260520002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2026年校园安全技术服务项目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SZT2026-SN-QC-ZC-FW-0445</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2026年校园安全技术服务项目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SZT2026-SN-QC-ZC-FW-0445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2026年校园安全技术服务项目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为进一步推进校园安全管理工作专业化、制度化、标准化、精细化，切实提升全体师生安全防范意识和学校安全管理水平，结合高新区校园安全管理实际，特制订以下2026年校园安全技术服务项目。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采购包1（采购包1（高新区教育体育局2026年校园安全技术服务项目一标段））：属于专门面向中小企业采购。</w:t>
      </w:r>
    </w:p>
    <w:p>
      <w:pPr>
        <w:pStyle w:val="null3"/>
      </w:pPr>
      <w:r>
        <w:rPr>
          <w:rFonts w:ascii="仿宋_GB2312" w:hAnsi="仿宋_GB2312" w:cs="仿宋_GB2312" w:eastAsia="仿宋_GB2312"/>
        </w:rPr>
        <w:t>采购包2（采购包2（高新区教育体育局2026年校园安全技术服务项目二标段））：属于专门面向中小企业采购。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2、法定代表人授权书及社保证明材料：法定代表人授权书及被授权人身份证复印件 (法人授权委托代表提供近六个月内任意一个月的社保证明，法定代表人直接参加投标，须提供法定代表人身份证明及身份证复印件）</w:t>
      </w:r>
    </w:p>
    <w:p>
      <w:pPr>
        <w:pStyle w:val="null3"/>
      </w:pPr>
      <w:r>
        <w:rPr>
          <w:rFonts w:ascii="仿宋_GB2312" w:hAnsi="仿宋_GB2312" w:cs="仿宋_GB2312" w:eastAsia="仿宋_GB2312"/>
        </w:rPr>
        <w:t>3、本项目不接受联合体响应：本项目不接受联合体响应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1、独立承担民事责任能力：具有独立承担民事责任能力的法人、其他组织或自然人，提供合法有效的统一社会信用代码营业执照（事业单位提供法人证书，自然人提供身份证）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2、法定代表人授权书及社保证明材料：法定代表人授权书及被授权人身份证复印件 (法人授权委托代表提供近六个月内任意一个月的社保证明，法定代表人直接参加投标，须提供法定代表人身份证明及身份证复印件）</w:t>
      </w:r>
    </w:p>
    <w:p>
      <w:pPr>
        <w:pStyle w:val="null3"/>
      </w:pPr>
      <w:r>
        <w:rPr>
          <w:rFonts w:ascii="仿宋_GB2312" w:hAnsi="仿宋_GB2312" w:cs="仿宋_GB2312" w:eastAsia="仿宋_GB2312"/>
        </w:rPr>
        <w:t>3、本项目不接受联合体响应：本项目不接受联合体响应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崔敬、赵倩、陈璐、高日兴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代理服务费收费标准：（1）每包成交供应商应向采购代理机构交纳招标代理服务费。招标代理 服务费的收取以预算金额按照国家发展计划委员会计价格[2002]1980号文件规定的服务标准收 取。此招标代理服务费应计入报价中，但不需要单独开列。 （2） 招标代理服务费的交纳方式 ：在领取成交通知书时按（1）的规定，向采购代理机构直接一次性交纳。 （3）接收招标代理 服务费账户信息：开户名称：陕西中技招标有限公司 开户银行：招商银行西安分行营业部 银行账号：129916812810001 转账事由：SZT2026-SN-QC-ZC-FW-0445 项目代理服务费 咨询电话：029- 88364979-810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进一步推进校园安全管理工作专业化、制度化、标准化、精细化，切实提升全体师生安全防范意识和学校安全管理水平，结合高新区校园安全管理实际，特制订以下2026年校园安全技术服务项目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校园安全技术服务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校园安全技术服务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标的名称：校园安全技术服务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0"/>
              <w:ind w:left="105" w:right="105" w:firstLine="532"/>
            </w:pPr>
            <w:r>
              <w:rPr>
                <w:rFonts w:ascii="仿宋_GB2312" w:hAnsi="仿宋_GB2312" w:cs="仿宋_GB2312" w:eastAsia="仿宋_GB2312"/>
                <w:sz w:val="24"/>
                <w:color w:val="000000"/>
              </w:rPr>
              <w:t>一标段：服务内容及技术要求（</w:t>
            </w:r>
            <w:r>
              <w:rPr>
                <w:rFonts w:ascii="仿宋_GB2312" w:hAnsi="仿宋_GB2312" w:cs="仿宋_GB2312" w:eastAsia="仿宋_GB2312"/>
                <w:sz w:val="24"/>
                <w:color w:val="000000"/>
              </w:rPr>
              <w:t>丈八、五星、灵沼、庞光、秦渡街道及高新区第五高级中学、高新区第六学校</w:t>
            </w:r>
            <w:r>
              <w:rPr>
                <w:rFonts w:ascii="仿宋_GB2312" w:hAnsi="仿宋_GB2312" w:cs="仿宋_GB2312" w:eastAsia="仿宋_GB2312"/>
                <w:sz w:val="24"/>
                <w:color w:val="000000"/>
              </w:rPr>
              <w:t>）</w:t>
            </w:r>
          </w:p>
          <w:p>
            <w:pPr>
              <w:pStyle w:val="null3"/>
              <w:spacing w:before="30"/>
              <w:ind w:left="105" w:right="105" w:firstLine="520"/>
            </w:pPr>
            <w:r>
              <w:rPr>
                <w:rFonts w:ascii="仿宋_GB2312" w:hAnsi="仿宋_GB2312" w:cs="仿宋_GB2312" w:eastAsia="仿宋_GB2312"/>
                <w:sz w:val="24"/>
                <w:color w:val="000000"/>
              </w:rPr>
              <w:t>（一）校园安全隐患排查整改</w:t>
            </w:r>
          </w:p>
          <w:p>
            <w:pPr>
              <w:pStyle w:val="null3"/>
              <w:spacing w:before="30"/>
              <w:ind w:left="105" w:right="105" w:firstLine="520"/>
            </w:pPr>
            <w:r>
              <w:rPr>
                <w:rFonts w:ascii="仿宋_GB2312" w:hAnsi="仿宋_GB2312" w:cs="仿宋_GB2312" w:eastAsia="仿宋_GB2312"/>
                <w:sz w:val="24"/>
                <w:color w:val="000000"/>
              </w:rPr>
              <w:t>1、建立辖区内学校消防安全、燃气安全、防汛安全、三防、特种设备、电器安全、危化品、宿舍管理、校舍安全、工程管理等安全管理基础信息台账。</w:t>
            </w:r>
          </w:p>
          <w:p>
            <w:pPr>
              <w:pStyle w:val="null3"/>
              <w:spacing w:before="30"/>
              <w:ind w:left="105" w:right="105" w:firstLine="520"/>
            </w:pPr>
            <w:r>
              <w:rPr>
                <w:rFonts w:ascii="仿宋_GB2312" w:hAnsi="仿宋_GB2312" w:cs="仿宋_GB2312" w:eastAsia="仿宋_GB2312"/>
                <w:sz w:val="24"/>
                <w:color w:val="000000"/>
              </w:rPr>
              <w:t>2、每学年至少组织开展1次覆盖全体学校的校园安全隐患排查；对排查发现的问题，建立整改台账，逐项督促学校限期整改，并严格落实整改复查闭环机制，确保隐患清零。同时，全过程做好检查记录、整改印证等资料的收集归档与规范管理。</w:t>
            </w:r>
          </w:p>
          <w:p>
            <w:pPr>
              <w:pStyle w:val="null3"/>
              <w:spacing w:before="30"/>
              <w:ind w:left="105" w:right="105" w:firstLine="520"/>
            </w:pPr>
            <w:r>
              <w:rPr>
                <w:rFonts w:ascii="仿宋_GB2312" w:hAnsi="仿宋_GB2312" w:cs="仿宋_GB2312" w:eastAsia="仿宋_GB2312"/>
                <w:sz w:val="24"/>
                <w:color w:val="000000"/>
              </w:rPr>
              <w:t>3、每学期组织一次“校园安全问题指导座谈总结会”。</w:t>
            </w:r>
          </w:p>
          <w:p>
            <w:pPr>
              <w:pStyle w:val="null3"/>
              <w:spacing w:before="30"/>
              <w:ind w:left="105" w:right="105" w:firstLine="520"/>
            </w:pPr>
            <w:r>
              <w:rPr>
                <w:rFonts w:ascii="仿宋_GB2312" w:hAnsi="仿宋_GB2312" w:cs="仿宋_GB2312" w:eastAsia="仿宋_GB2312"/>
                <w:sz w:val="24"/>
                <w:color w:val="000000"/>
              </w:rPr>
              <w:t>4、结合新政策及实际修订标准化操作指南。</w:t>
            </w:r>
          </w:p>
          <w:p>
            <w:pPr>
              <w:pStyle w:val="null3"/>
              <w:spacing w:before="30"/>
              <w:ind w:left="105" w:right="105" w:firstLine="520"/>
            </w:pPr>
            <w:r>
              <w:rPr>
                <w:rFonts w:ascii="仿宋_GB2312" w:hAnsi="仿宋_GB2312" w:cs="仿宋_GB2312" w:eastAsia="仿宋_GB2312"/>
                <w:sz w:val="24"/>
                <w:color w:val="000000"/>
              </w:rPr>
              <w:t>（二）校园安全演练</w:t>
            </w:r>
          </w:p>
          <w:p>
            <w:pPr>
              <w:pStyle w:val="null3"/>
              <w:spacing w:before="30"/>
              <w:ind w:left="105" w:right="105" w:firstLine="520"/>
            </w:pPr>
            <w:r>
              <w:rPr>
                <w:rFonts w:ascii="仿宋_GB2312" w:hAnsi="仿宋_GB2312" w:cs="仿宋_GB2312" w:eastAsia="仿宋_GB2312"/>
                <w:sz w:val="24"/>
                <w:color w:val="000000"/>
              </w:rPr>
              <w:t>1、除寒暑假，</w:t>
            </w:r>
            <w:r>
              <w:rPr>
                <w:rFonts w:ascii="仿宋_GB2312" w:hAnsi="仿宋_GB2312" w:cs="仿宋_GB2312" w:eastAsia="仿宋_GB2312"/>
                <w:sz w:val="24"/>
                <w:color w:val="000000"/>
              </w:rPr>
              <w:t>全年至少开展</w:t>
            </w:r>
            <w:r>
              <w:rPr>
                <w:rFonts w:ascii="仿宋_GB2312" w:hAnsi="仿宋_GB2312" w:cs="仿宋_GB2312" w:eastAsia="仿宋_GB2312"/>
                <w:sz w:val="24"/>
                <w:color w:val="000000"/>
              </w:rPr>
              <w:t>5次实战演练指导</w:t>
            </w:r>
            <w:r>
              <w:rPr>
                <w:rFonts w:ascii="仿宋_GB2312" w:hAnsi="仿宋_GB2312" w:cs="仿宋_GB2312" w:eastAsia="仿宋_GB2312"/>
                <w:sz w:val="24"/>
                <w:color w:val="000000"/>
              </w:rPr>
              <w:t>；同时组织周边学校观摩学习，确保全年辖区内所有学校（含民办、职业学校）应急演练参与率达</w:t>
            </w:r>
            <w:r>
              <w:rPr>
                <w:rFonts w:ascii="仿宋_GB2312" w:hAnsi="仿宋_GB2312" w:cs="仿宋_GB2312" w:eastAsia="仿宋_GB2312"/>
                <w:sz w:val="24"/>
                <w:color w:val="000000"/>
              </w:rPr>
              <w:t>100%。</w:t>
            </w:r>
          </w:p>
          <w:p>
            <w:pPr>
              <w:pStyle w:val="null3"/>
              <w:spacing w:before="30"/>
              <w:ind w:left="105" w:right="105" w:firstLine="520"/>
            </w:pPr>
            <w:r>
              <w:rPr>
                <w:rFonts w:ascii="仿宋_GB2312" w:hAnsi="仿宋_GB2312" w:cs="仿宋_GB2312" w:eastAsia="仿宋_GB2312"/>
                <w:sz w:val="24"/>
                <w:color w:val="000000"/>
              </w:rPr>
              <w:t>2、收集每次演练的资料，汇编成册，并对每次演练全过程进行视频录制，整理形成《校园应急演练视频案例库》。</w:t>
            </w:r>
          </w:p>
          <w:p>
            <w:pPr>
              <w:pStyle w:val="null3"/>
              <w:spacing w:before="30"/>
              <w:ind w:left="105" w:right="105" w:firstLine="520"/>
            </w:pPr>
            <w:r>
              <w:rPr>
                <w:rFonts w:ascii="仿宋_GB2312" w:hAnsi="仿宋_GB2312" w:cs="仿宋_GB2312" w:eastAsia="仿宋_GB2312"/>
                <w:sz w:val="24"/>
                <w:color w:val="000000"/>
              </w:rPr>
              <w:t>（三）校园安全安全培训会</w:t>
            </w:r>
          </w:p>
          <w:p>
            <w:pPr>
              <w:pStyle w:val="null3"/>
              <w:spacing w:before="30"/>
              <w:ind w:left="105" w:right="105" w:firstLine="520"/>
            </w:pPr>
            <w:r>
              <w:rPr>
                <w:rFonts w:ascii="仿宋_GB2312" w:hAnsi="仿宋_GB2312" w:cs="仿宋_GB2312" w:eastAsia="仿宋_GB2312"/>
                <w:sz w:val="24"/>
                <w:color w:val="000000"/>
              </w:rPr>
              <w:t>通过检查、座谈等工作，梳理学校薄弱环节，有针对性组织</w:t>
            </w:r>
            <w:r>
              <w:rPr>
                <w:rFonts w:ascii="仿宋_GB2312" w:hAnsi="仿宋_GB2312" w:cs="仿宋_GB2312" w:eastAsia="仿宋_GB2312"/>
                <w:sz w:val="24"/>
                <w:color w:val="000000"/>
              </w:rPr>
              <w:t>1次专业化校园安全培训，提升校园安全管理水平。</w:t>
            </w:r>
          </w:p>
          <w:p>
            <w:pPr>
              <w:pStyle w:val="null3"/>
              <w:spacing w:before="30"/>
              <w:ind w:left="105" w:right="105" w:firstLine="520"/>
            </w:pPr>
            <w:r>
              <w:rPr>
                <w:rFonts w:ascii="仿宋_GB2312" w:hAnsi="仿宋_GB2312" w:cs="仿宋_GB2312" w:eastAsia="仿宋_GB2312"/>
                <w:sz w:val="24"/>
                <w:color w:val="000000"/>
              </w:rPr>
              <w:t>（四）双重预防机制工作报告</w:t>
            </w:r>
          </w:p>
          <w:p>
            <w:pPr>
              <w:pStyle w:val="null3"/>
              <w:spacing w:before="30"/>
              <w:ind w:left="105" w:right="105" w:firstLine="520"/>
            </w:pPr>
            <w:r>
              <w:rPr>
                <w:rFonts w:ascii="仿宋_GB2312" w:hAnsi="仿宋_GB2312" w:cs="仿宋_GB2312" w:eastAsia="仿宋_GB2312"/>
                <w:sz w:val="24"/>
                <w:color w:val="000000"/>
              </w:rPr>
              <w:t>1、全年完成</w:t>
            </w:r>
            <w:r>
              <w:rPr>
                <w:rFonts w:ascii="仿宋_GB2312" w:hAnsi="仿宋_GB2312" w:cs="仿宋_GB2312" w:eastAsia="仿宋_GB2312"/>
                <w:sz w:val="24"/>
                <w:color w:val="000000"/>
              </w:rPr>
              <w:t>15</w:t>
            </w:r>
            <w:r>
              <w:rPr>
                <w:rFonts w:ascii="仿宋_GB2312" w:hAnsi="仿宋_GB2312" w:cs="仿宋_GB2312" w:eastAsia="仿宋_GB2312"/>
                <w:sz w:val="24"/>
                <w:color w:val="000000"/>
              </w:rPr>
              <w:t>所学校的双重预防机制建设任务，全面建成风险分级管控与隐患排查治理双重预防体系，实现校园安全管理从被动应对向主动防范转变。</w:t>
            </w:r>
          </w:p>
          <w:p>
            <w:pPr>
              <w:pStyle w:val="null3"/>
              <w:spacing w:before="30"/>
              <w:ind w:left="105" w:right="105" w:firstLine="520"/>
            </w:pPr>
            <w:r>
              <w:rPr>
                <w:rFonts w:ascii="仿宋_GB2312" w:hAnsi="仿宋_GB2312" w:cs="仿宋_GB2312" w:eastAsia="仿宋_GB2312"/>
                <w:sz w:val="24"/>
                <w:color w:val="000000"/>
              </w:rPr>
              <w:t>2、通过健全制度预案、编制“两清单”（风险管控清单、隐患排查清单）、建立风险点与隐患管理台账、绘制四色风险分布图等举措，全面夯实“一图两清单”工作基础，实现风险可视、责任可溯、管理有据。</w:t>
            </w:r>
          </w:p>
          <w:p>
            <w:pPr>
              <w:pStyle w:val="null3"/>
              <w:spacing w:before="30"/>
              <w:ind w:left="105" w:right="105" w:firstLine="520"/>
            </w:pPr>
            <w:r>
              <w:rPr>
                <w:rFonts w:ascii="仿宋_GB2312" w:hAnsi="仿宋_GB2312" w:cs="仿宋_GB2312" w:eastAsia="仿宋_GB2312"/>
                <w:sz w:val="24"/>
                <w:color w:val="000000"/>
              </w:rPr>
              <w:t>（五）其他</w:t>
            </w:r>
          </w:p>
          <w:p>
            <w:pPr>
              <w:pStyle w:val="null3"/>
              <w:ind w:firstLine="520"/>
            </w:pPr>
            <w:r>
              <w:rPr>
                <w:rFonts w:ascii="仿宋_GB2312" w:hAnsi="仿宋_GB2312" w:cs="仿宋_GB2312" w:eastAsia="仿宋_GB2312"/>
                <w:sz w:val="24"/>
                <w:color w:val="000000"/>
              </w:rPr>
              <w:t>完成省、市、管委会交办的安全相关工作任务</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标的名称：校园安全技术服务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二标段：服务内容及技术要求（鱼化、兴隆、细柳、东大、草堂街道）</w:t>
            </w:r>
          </w:p>
          <w:p>
            <w:pPr>
              <w:pStyle w:val="null3"/>
              <w:ind w:firstLine="520"/>
            </w:pPr>
            <w:r>
              <w:rPr>
                <w:rFonts w:ascii="仿宋_GB2312" w:hAnsi="仿宋_GB2312" w:cs="仿宋_GB2312" w:eastAsia="仿宋_GB2312"/>
                <w:sz w:val="24"/>
                <w:color w:val="000000"/>
              </w:rPr>
              <w:t>（一）校园安全隐患排查整改</w:t>
            </w:r>
          </w:p>
          <w:p>
            <w:pPr>
              <w:pStyle w:val="null3"/>
              <w:ind w:firstLine="520"/>
            </w:pPr>
            <w:r>
              <w:rPr>
                <w:rFonts w:ascii="仿宋_GB2312" w:hAnsi="仿宋_GB2312" w:cs="仿宋_GB2312" w:eastAsia="仿宋_GB2312"/>
                <w:sz w:val="24"/>
                <w:color w:val="000000"/>
              </w:rPr>
              <w:t>1、建立辖区内学校消防安全、燃气安全、防汛安全、三防、特种设备、电器安全、危化品、宿舍管理、校舍安全、工程管理等安全管理基础信息台账。</w:t>
            </w:r>
          </w:p>
          <w:p>
            <w:pPr>
              <w:pStyle w:val="null3"/>
              <w:ind w:firstLine="520"/>
            </w:pPr>
            <w:r>
              <w:rPr>
                <w:rFonts w:ascii="仿宋_GB2312" w:hAnsi="仿宋_GB2312" w:cs="仿宋_GB2312" w:eastAsia="仿宋_GB2312"/>
                <w:sz w:val="24"/>
                <w:color w:val="000000"/>
              </w:rPr>
              <w:t>2、每学年至少组织开展1次覆盖全体学校的校园安全隐患排查；对排查发现的问题，建立整改台账，逐项督促学校限期整改，并严格落实整改复查闭环机制，确保隐患清零。同时，全过程做好检查记录、整改印证等资料的收集归档与规范管理。</w:t>
            </w:r>
          </w:p>
          <w:p>
            <w:pPr>
              <w:pStyle w:val="null3"/>
              <w:ind w:firstLine="520"/>
            </w:pPr>
            <w:r>
              <w:rPr>
                <w:rFonts w:ascii="仿宋_GB2312" w:hAnsi="仿宋_GB2312" w:cs="仿宋_GB2312" w:eastAsia="仿宋_GB2312"/>
                <w:sz w:val="24"/>
                <w:color w:val="000000"/>
              </w:rPr>
              <w:t>3、每学期组织一次“校园安全问题指导座谈总结会”。</w:t>
            </w:r>
          </w:p>
          <w:p>
            <w:pPr>
              <w:pStyle w:val="null3"/>
              <w:ind w:firstLine="520"/>
            </w:pPr>
            <w:r>
              <w:rPr>
                <w:rFonts w:ascii="仿宋_GB2312" w:hAnsi="仿宋_GB2312" w:cs="仿宋_GB2312" w:eastAsia="仿宋_GB2312"/>
                <w:sz w:val="24"/>
                <w:color w:val="000000"/>
              </w:rPr>
              <w:t>4、结合新政策及实际修订标准化操作指南。</w:t>
            </w:r>
          </w:p>
          <w:p>
            <w:pPr>
              <w:pStyle w:val="null3"/>
              <w:ind w:firstLine="520"/>
            </w:pPr>
            <w:r>
              <w:rPr>
                <w:rFonts w:ascii="仿宋_GB2312" w:hAnsi="仿宋_GB2312" w:cs="仿宋_GB2312" w:eastAsia="仿宋_GB2312"/>
                <w:sz w:val="24"/>
                <w:color w:val="000000"/>
              </w:rPr>
              <w:t>（二）校园安全演练</w:t>
            </w:r>
          </w:p>
          <w:p>
            <w:pPr>
              <w:pStyle w:val="null3"/>
              <w:ind w:firstLine="520"/>
            </w:pPr>
            <w:r>
              <w:rPr>
                <w:rFonts w:ascii="仿宋_GB2312" w:hAnsi="仿宋_GB2312" w:cs="仿宋_GB2312" w:eastAsia="仿宋_GB2312"/>
                <w:sz w:val="24"/>
                <w:color w:val="000000"/>
              </w:rPr>
              <w:t>1、除寒暑假，全年至少开展5次实战演练指导；同时组织周边学校观摩学习，确保全年辖区内所有学校（含民办、职业学校）应急演练参与率达100%。</w:t>
            </w:r>
          </w:p>
          <w:p>
            <w:pPr>
              <w:pStyle w:val="null3"/>
              <w:ind w:firstLine="520"/>
            </w:pPr>
            <w:r>
              <w:rPr>
                <w:rFonts w:ascii="仿宋_GB2312" w:hAnsi="仿宋_GB2312" w:cs="仿宋_GB2312" w:eastAsia="仿宋_GB2312"/>
                <w:sz w:val="24"/>
                <w:color w:val="000000"/>
              </w:rPr>
              <w:t>2、收集每次演练的资料，汇编成册，并对每次演练全过程进行视频录制，整理形成《校园应急演练视频案例库》。</w:t>
            </w:r>
          </w:p>
          <w:p>
            <w:pPr>
              <w:pStyle w:val="null3"/>
              <w:ind w:firstLine="520"/>
            </w:pPr>
            <w:r>
              <w:rPr>
                <w:rFonts w:ascii="仿宋_GB2312" w:hAnsi="仿宋_GB2312" w:cs="仿宋_GB2312" w:eastAsia="仿宋_GB2312"/>
                <w:sz w:val="24"/>
                <w:color w:val="000000"/>
              </w:rPr>
              <w:t>（三）校园安全安全培训会</w:t>
            </w:r>
          </w:p>
          <w:p>
            <w:pPr>
              <w:pStyle w:val="null3"/>
              <w:ind w:firstLine="520"/>
            </w:pPr>
            <w:r>
              <w:rPr>
                <w:rFonts w:ascii="仿宋_GB2312" w:hAnsi="仿宋_GB2312" w:cs="仿宋_GB2312" w:eastAsia="仿宋_GB2312"/>
                <w:sz w:val="24"/>
                <w:color w:val="000000"/>
              </w:rPr>
              <w:t>通过检查、座谈等工作，梳理学校薄弱环节，有针对性组织</w:t>
            </w:r>
            <w:r>
              <w:rPr>
                <w:rFonts w:ascii="仿宋_GB2312" w:hAnsi="仿宋_GB2312" w:cs="仿宋_GB2312" w:eastAsia="仿宋_GB2312"/>
                <w:sz w:val="24"/>
                <w:color w:val="000000"/>
              </w:rPr>
              <w:t>1次专业化校园安全培训，提升校园安全管理水平。</w:t>
            </w:r>
          </w:p>
          <w:p>
            <w:pPr>
              <w:pStyle w:val="null3"/>
              <w:ind w:firstLine="520"/>
            </w:pPr>
            <w:r>
              <w:rPr>
                <w:rFonts w:ascii="仿宋_GB2312" w:hAnsi="仿宋_GB2312" w:cs="仿宋_GB2312" w:eastAsia="仿宋_GB2312"/>
                <w:sz w:val="24"/>
                <w:color w:val="000000"/>
              </w:rPr>
              <w:t>（四）双重预防机制工作报告</w:t>
            </w:r>
          </w:p>
          <w:p>
            <w:pPr>
              <w:pStyle w:val="null3"/>
              <w:ind w:firstLine="520"/>
            </w:pPr>
            <w:r>
              <w:rPr>
                <w:rFonts w:ascii="仿宋_GB2312" w:hAnsi="仿宋_GB2312" w:cs="仿宋_GB2312" w:eastAsia="仿宋_GB2312"/>
                <w:sz w:val="24"/>
                <w:color w:val="000000"/>
              </w:rPr>
              <w:t>1、全年完成15所学校的双重预防机制建设任务，全面建成风险分级管控与隐患排查治理双重预防体系，实现校园安全管理从被动应对向主动防范转变。</w:t>
            </w:r>
          </w:p>
          <w:p>
            <w:pPr>
              <w:pStyle w:val="null3"/>
              <w:ind w:firstLine="520"/>
            </w:pPr>
            <w:r>
              <w:rPr>
                <w:rFonts w:ascii="仿宋_GB2312" w:hAnsi="仿宋_GB2312" w:cs="仿宋_GB2312" w:eastAsia="仿宋_GB2312"/>
                <w:sz w:val="24"/>
                <w:color w:val="000000"/>
              </w:rPr>
              <w:t>2、通过健全制度预案、编制“两清单”（风险管控清单、隐患排查清单）、建立风险点与隐患管理台账、绘制四色风险分布图等举措，全面夯实“一图两清单”工作基础，实现风险可视、责任可溯、管理有据。</w:t>
            </w:r>
          </w:p>
          <w:p>
            <w:pPr>
              <w:pStyle w:val="null3"/>
              <w:ind w:firstLine="520"/>
            </w:pPr>
            <w:r>
              <w:rPr>
                <w:rFonts w:ascii="仿宋_GB2312" w:hAnsi="仿宋_GB2312" w:cs="仿宋_GB2312" w:eastAsia="仿宋_GB2312"/>
                <w:sz w:val="24"/>
                <w:color w:val="000000"/>
              </w:rPr>
              <w:t>（五）其他</w:t>
            </w:r>
          </w:p>
          <w:p>
            <w:pPr>
              <w:pStyle w:val="null3"/>
            </w:pPr>
            <w:r>
              <w:rPr>
                <w:rFonts w:ascii="仿宋_GB2312" w:hAnsi="仿宋_GB2312" w:cs="仿宋_GB2312" w:eastAsia="仿宋_GB2312"/>
                <w:sz w:val="24"/>
                <w:color w:val="000000"/>
              </w:rPr>
              <w:t>完成省、市、管委会交办的安全相关工作任务</w:t>
            </w:r>
            <w:r>
              <w:rPr>
                <w:rFonts w:ascii="仿宋_GB2312" w:hAnsi="仿宋_GB2312" w:cs="仿宋_GB2312" w:eastAsia="仿宋_GB2312"/>
                <w:sz w:val="24"/>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需能满足服务要求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需能满足服务要求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需能满足服务要求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需能满足服务要求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需能满足服务要求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需能满足服务要求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期满后，乙方须向甲方提交完整成果资料，甲方将依据合同约定及相关标准进行核验：验收合格的，双方签署验收单并据实全额支付费用；验收不合格的，甲方将结合乙方实际完成工作量及整改成效，按实核算并支付相应费用。 （二）验收依据： 1、本合同及附加文本； 2、采购文件、成交供应商的响应文件及澄清（承诺）函；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服务期满后，乙方须向甲方提交完整成果资料，甲方将依据合同约定及相关标准进行核验：验收合格的，双方签署验收单并据实全额支付费用；验收不合格的，甲方将结合乙方实际完成工作量及整改成效，按实核算并支付相应费用。 （二）验收依据： 1、本合同及附加文本； 2、采购文件、成交供应商的响应文件及澄清（承诺）函；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进度款，签订合同后，项目实施五个月后，支付合同总价款的50%，达到付款条件起30个工作日内，支付合同总金额的50.0%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进度款，项目完成后，提交成果资料，经验收合格后支付剩余50%合同款，达到付款条件起30个工作日内，支付合同总金额的50.0%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进度款，签订合同后，项目实施五个月后，支付合同总价款的50%，达到付款条件起30个工作日内，支付合同总金额的50.0%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进度款，项目完成后，提交成果资料，经验收合格后支付剩余50%合同款，达到付款条件起30个工作日内，支付合同总金额的50.0%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 融资政策链接：http://www.ccgp-shanxi.gov.cn/zcdservice/zcd/shanxi/) 二、报价异常低价处理 （一）政府采购评审中出现下列情形之一的，评审小组应当启动异常低价投标（响应）审查程序：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4.评审小组基于专业判断，认为供应商报价过低，有可能影响产品质量或者不能诚信履约的其他情形。 （二）评审小组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小组应当将其作为无效投标（响应）处理。 三、本项目划分为两个标段，供应商可同时参与多个标段投标，但同一供应商最多仅能中标一个标段，实行兼投不兼中原则。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供应商需在项目电子化交易系统中按要求提供 材料并进行电子签章。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供应商需在项目电子化交易系统中按要求提供 材料并进行电子签章。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法定代表人授权书及社保证明材料</w:t>
            </w:r>
          </w:p>
        </w:tc>
        <w:tc>
          <w:tcPr>
            <w:tcW w:type="dxa" w:w="3322"/>
          </w:tcPr>
          <w:p>
            <w:pPr>
              <w:pStyle w:val="null3"/>
            </w:pPr>
            <w:r>
              <w:rPr>
                <w:rFonts w:ascii="仿宋_GB2312" w:hAnsi="仿宋_GB2312" w:cs="仿宋_GB2312" w:eastAsia="仿宋_GB2312"/>
              </w:rPr>
              <w:t>法定代表人授权书及被授权人身份证复印件 (法人授权委托代表提供近六个月内任意一个月的社保证明，法定代表人直接参加投标，须提供法定代表人身份证明及身份证复印件）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授权委托书及联合体.docx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本项目不接受联合体响应</w:t>
            </w:r>
          </w:p>
        </w:tc>
        <w:tc>
          <w:tcPr>
            <w:tcW w:type="dxa" w:w="3322"/>
          </w:tcPr>
          <w:p>
            <w:pPr>
              <w:pStyle w:val="null3"/>
            </w:pPr>
            <w:r>
              <w:rPr>
                <w:rFonts w:ascii="仿宋_GB2312" w:hAnsi="仿宋_GB2312" w:cs="仿宋_GB2312" w:eastAsia="仿宋_GB2312"/>
              </w:rPr>
              <w:t>本项目不接受联合体响应</w:t>
            </w:r>
          </w:p>
        </w:tc>
        <w:tc>
          <w:tcPr>
            <w:tcW w:type="dxa" w:w="1661"/>
          </w:tcPr>
          <w:p>
            <w:pPr>
              <w:pStyle w:val="null3"/>
            </w:pPr>
            <w:r>
              <w:rPr>
                <w:rFonts w:ascii="仿宋_GB2312" w:hAnsi="仿宋_GB2312" w:cs="仿宋_GB2312" w:eastAsia="仿宋_GB2312"/>
              </w:rPr>
              <w:t>授权委托书及联合体.docx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法定代表人授权书及社保证明材料</w:t>
            </w:r>
          </w:p>
        </w:tc>
        <w:tc>
          <w:tcPr>
            <w:tcW w:type="dxa" w:w="3322"/>
          </w:tcPr>
          <w:p>
            <w:pPr>
              <w:pStyle w:val="null3"/>
            </w:pPr>
            <w:r>
              <w:rPr>
                <w:rFonts w:ascii="仿宋_GB2312" w:hAnsi="仿宋_GB2312" w:cs="仿宋_GB2312" w:eastAsia="仿宋_GB2312"/>
              </w:rPr>
              <w:t>法定代表人授权书及被授权人身份证复印件 (法人授权委托代表提供近六个月内任意一个月的社保证明，法定代表人直接参加投标，须提供法定代表人身份证明及身份证复印件）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授权委托书及联合体.docx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本项目不接受联合体响应</w:t>
            </w:r>
          </w:p>
        </w:tc>
        <w:tc>
          <w:tcPr>
            <w:tcW w:type="dxa" w:w="3322"/>
          </w:tcPr>
          <w:p>
            <w:pPr>
              <w:pStyle w:val="null3"/>
            </w:pPr>
            <w:r>
              <w:rPr>
                <w:rFonts w:ascii="仿宋_GB2312" w:hAnsi="仿宋_GB2312" w:cs="仿宋_GB2312" w:eastAsia="仿宋_GB2312"/>
              </w:rPr>
              <w:t>本项目不接受联合体响应</w:t>
            </w:r>
          </w:p>
        </w:tc>
        <w:tc>
          <w:tcPr>
            <w:tcW w:type="dxa" w:w="1661"/>
          </w:tcPr>
          <w:p>
            <w:pPr>
              <w:pStyle w:val="null3"/>
            </w:pPr>
            <w:r>
              <w:rPr>
                <w:rFonts w:ascii="仿宋_GB2312" w:hAnsi="仿宋_GB2312" w:cs="仿宋_GB2312" w:eastAsia="仿宋_GB2312"/>
              </w:rPr>
              <w:t>授权委托书及联合体.docx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磋商报价表及分项报价表.docx 标的清单 承诺书.docx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付款⽅式</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磋商报价表及分项报价表.docx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磋商报价表及分项报价表.docx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技术参数偏离表.docx 商务偏离表.docx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承诺书.docx 磋商报价表及分项报价表.docx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付款⽅式</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磋商报价表及分项报价表.docx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磋商报价表及分项报价表.docx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技术参数偏离表.docx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服务方案-1.对本项目的工作内容理解清晰 、全面，能清楚描述 本次工作任务目标。</w:t>
            </w:r>
          </w:p>
        </w:tc>
        <w:tc>
          <w:tcPr>
            <w:tcW w:type="dxa" w:w="2492"/>
          </w:tcPr>
          <w:p>
            <w:pPr>
              <w:pStyle w:val="null3"/>
            </w:pPr>
            <w:r>
              <w:rPr>
                <w:rFonts w:ascii="仿宋_GB2312" w:hAnsi="仿宋_GB2312" w:cs="仿宋_GB2312" w:eastAsia="仿宋_GB2312"/>
              </w:rPr>
              <w:t>①分析详尽全面，具体描述合理得 当得8分； ②分析比较全面，具体 描述比较合理得5分； ③分析不充 分，具体描述有欠妥当得2分； ④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服务方案-2.根据校园安全隐患排查整改方案进行赋分。</w:t>
            </w:r>
          </w:p>
        </w:tc>
        <w:tc>
          <w:tcPr>
            <w:tcW w:type="dxa" w:w="2492"/>
          </w:tcPr>
          <w:p>
            <w:pPr>
              <w:pStyle w:val="null3"/>
            </w:pPr>
            <w:r>
              <w:rPr>
                <w:rFonts w:ascii="仿宋_GB2312" w:hAnsi="仿宋_GB2312" w:cs="仿宋_GB2312" w:eastAsia="仿宋_GB2312"/>
              </w:rPr>
              <w:t>①隐患排查整改方案全面详实、具体、切实可行、科学合理，针对性强，赋分12分； ② 方案较细致、大部分响应内容切实可行、合理，赋分8分； ③方案模糊、目标不明确赋分4分； ④未提供得0分。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服务方案-3.根据校园安全演练方案进行赋分。</w:t>
            </w:r>
          </w:p>
        </w:tc>
        <w:tc>
          <w:tcPr>
            <w:tcW w:type="dxa" w:w="2492"/>
          </w:tcPr>
          <w:p>
            <w:pPr>
              <w:pStyle w:val="null3"/>
            </w:pPr>
            <w:r>
              <w:rPr>
                <w:rFonts w:ascii="仿宋_GB2312" w:hAnsi="仿宋_GB2312" w:cs="仿宋_GB2312" w:eastAsia="仿宋_GB2312"/>
              </w:rPr>
              <w:t>①安全演练方案及紧急情况分析详尽全面，应对措施及实施方案合理得当得8分； ②安全演练方案及紧急情况分析比较全面，应对措施 及实施方案比较合理得5分； ③安全演练方案及紧急情况分析不充分，应对措施及实施方案有欠妥当得2分； 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服务方案-4.校园安全安全培训方案进行赋分。</w:t>
            </w:r>
          </w:p>
        </w:tc>
        <w:tc>
          <w:tcPr>
            <w:tcW w:type="dxa" w:w="2492"/>
          </w:tcPr>
          <w:p>
            <w:pPr>
              <w:pStyle w:val="null3"/>
            </w:pPr>
            <w:r>
              <w:rPr>
                <w:rFonts w:ascii="仿宋_GB2312" w:hAnsi="仿宋_GB2312" w:cs="仿宋_GB2312" w:eastAsia="仿宋_GB2312"/>
              </w:rPr>
              <w:t>①培训方案有针对性、详尽全面，实施方案及成果整理内容完整得3分；②方案比较全面，实施方案及成果整理内容比较合理得2分；③方案不充分,实施方案及成果整理内容有欠妥当得1分；④未提供得0分。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服务方案-5.双重预防机制实施方案进行赋分。</w:t>
            </w:r>
          </w:p>
        </w:tc>
        <w:tc>
          <w:tcPr>
            <w:tcW w:type="dxa" w:w="2492"/>
          </w:tcPr>
          <w:p>
            <w:pPr>
              <w:pStyle w:val="null3"/>
            </w:pPr>
            <w:r>
              <w:rPr>
                <w:rFonts w:ascii="仿宋_GB2312" w:hAnsi="仿宋_GB2312" w:cs="仿宋_GB2312" w:eastAsia="仿宋_GB2312"/>
              </w:rPr>
              <w:t>①双重预防机制实施方案有针对性、详尽全面，相关内容合理得当得9分；②方案比较全面，相关内容比较合理得6分；③方案不充分，相关内容有欠妥当得3分；④未提供得0分。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人员配备-针对本项目 成立专门的服务团队（供应商提供的具有相关职业资格或相关专业的人员须能满足服务需求）。</w:t>
            </w:r>
          </w:p>
        </w:tc>
        <w:tc>
          <w:tcPr>
            <w:tcW w:type="dxa" w:w="2492"/>
          </w:tcPr>
          <w:p>
            <w:pPr>
              <w:pStyle w:val="null3"/>
            </w:pPr>
            <w:r>
              <w:rPr>
                <w:rFonts w:ascii="仿宋_GB2312" w:hAnsi="仿宋_GB2312" w:cs="仿宋_GB2312" w:eastAsia="仿宋_GB2312"/>
              </w:rPr>
              <w:t>①人员配备全面，经验丰富，证书齐全，具体岗位职责合理得当得10 分； ②人员比较全面，经验较为丰 富，证书基本齐全，具体岗位职责 比较合理得6分； ③人员欠缺，经 验不足，证书欠缺，具体岗位职责 有欠妥当得2分； ④未提供得0分。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服务计划及承诺-1.供应商服务机构健全，能提供本地化服务，并出具相关证明</w:t>
            </w:r>
          </w:p>
        </w:tc>
        <w:tc>
          <w:tcPr>
            <w:tcW w:type="dxa" w:w="2492"/>
          </w:tcPr>
          <w:p>
            <w:pPr>
              <w:pStyle w:val="null3"/>
            </w:pPr>
            <w:r>
              <w:rPr>
                <w:rFonts w:ascii="仿宋_GB2312" w:hAnsi="仿宋_GB2312" w:cs="仿宋_GB2312" w:eastAsia="仿宋_GB2312"/>
              </w:rPr>
              <w:t>1.供应商服务机构健全，能提供本地化服务，并出具相关证明，①证明材料完整齐全、内容清晰明确得6分；②证明材料简略得3分；③未提供得0分。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服务计划及承诺-2.针对本项目及采购人实际需求提供优质的服务承诺（包括但不限 于出现问题有可行性方案，解决问题时限) 。</w:t>
            </w:r>
          </w:p>
        </w:tc>
        <w:tc>
          <w:tcPr>
            <w:tcW w:type="dxa" w:w="2492"/>
          </w:tcPr>
          <w:p>
            <w:pPr>
              <w:pStyle w:val="null3"/>
            </w:pPr>
            <w:r>
              <w:rPr>
                <w:rFonts w:ascii="仿宋_GB2312" w:hAnsi="仿宋_GB2312" w:cs="仿宋_GB2312" w:eastAsia="仿宋_GB2312"/>
              </w:rPr>
              <w:t>①承诺内容详尽全面，具体内容合 理得当得8分； ②承诺比较全面，具体内容比较合理得5分； ③承诺 不充分，具体内容有欠妥当得2分 。 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服务计划及承诺-3.服 务人员与采购人能有 良好工作配合的承诺。</w:t>
            </w:r>
          </w:p>
        </w:tc>
        <w:tc>
          <w:tcPr>
            <w:tcW w:type="dxa" w:w="2492"/>
          </w:tcPr>
          <w:p>
            <w:pPr>
              <w:pStyle w:val="null3"/>
            </w:pPr>
            <w:r>
              <w:rPr>
                <w:rFonts w:ascii="仿宋_GB2312" w:hAnsi="仿宋_GB2312" w:cs="仿宋_GB2312" w:eastAsia="仿宋_GB2312"/>
              </w:rPr>
              <w:t>①承诺内容详尽全面，具体内容合理得当得8分；②承诺比较全面，具体内容比较合理得5分；③承诺不充分，具体内容有欠妥当得2分。④未提供得0分。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服务计划及承诺-4.供 应商提供切实可行的 保密措施及承诺，对 其所获取的信息保密。</w:t>
            </w:r>
          </w:p>
        </w:tc>
        <w:tc>
          <w:tcPr>
            <w:tcW w:type="dxa" w:w="2492"/>
          </w:tcPr>
          <w:p>
            <w:pPr>
              <w:pStyle w:val="null3"/>
            </w:pPr>
            <w:r>
              <w:rPr>
                <w:rFonts w:ascii="仿宋_GB2312" w:hAnsi="仿宋_GB2312" w:cs="仿宋_GB2312" w:eastAsia="仿宋_GB2312"/>
              </w:rPr>
              <w:t>①承诺内容详尽全面，具体内容合 理得当得8分； ②承诺比较全面，具体内容比较合理得5分；③承诺不充分，具体内容有欠妥当得2分。④未提供得0分。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业绩-供应商具有（2023年1月至今，以合同 签订的日期为准）类似项目业绩</w:t>
            </w:r>
          </w:p>
        </w:tc>
        <w:tc>
          <w:tcPr>
            <w:tcW w:type="dxa" w:w="2492"/>
          </w:tcPr>
          <w:p>
            <w:pPr>
              <w:pStyle w:val="null3"/>
            </w:pPr>
            <w:r>
              <w:rPr>
                <w:rFonts w:ascii="仿宋_GB2312" w:hAnsi="仿宋_GB2312" w:cs="仿宋_GB2312" w:eastAsia="仿宋_GB2312"/>
              </w:rPr>
              <w:t>供应商具有（2023年1月至今，以合同签订的日期为准）类似项目业绩，每提供1份计2分，满分10分。注：响应文件中提供合同复印件 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 分统一按照下列公式计算： 磋商报 价得分=（磋商基准价/磋商报价）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服务方案-1.对本项目的工作内容理解清晰 、全面，能清楚描述 本次工作任务目标。</w:t>
            </w:r>
          </w:p>
        </w:tc>
        <w:tc>
          <w:tcPr>
            <w:tcW w:type="dxa" w:w="2492"/>
          </w:tcPr>
          <w:p>
            <w:pPr>
              <w:pStyle w:val="null3"/>
            </w:pPr>
            <w:r>
              <w:rPr>
                <w:rFonts w:ascii="仿宋_GB2312" w:hAnsi="仿宋_GB2312" w:cs="仿宋_GB2312" w:eastAsia="仿宋_GB2312"/>
              </w:rPr>
              <w:t>①分析详尽全面，具体描述合理得 当得8分； ②分析比较全面，具体 描述比较合理得5分； ③分析不充 分，具体描述有欠妥当得2分； ④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服务方案-2.根据校园安全隐患排查整改方案进行赋分。</w:t>
            </w:r>
          </w:p>
        </w:tc>
        <w:tc>
          <w:tcPr>
            <w:tcW w:type="dxa" w:w="2492"/>
          </w:tcPr>
          <w:p>
            <w:pPr>
              <w:pStyle w:val="null3"/>
            </w:pPr>
            <w:r>
              <w:rPr>
                <w:rFonts w:ascii="仿宋_GB2312" w:hAnsi="仿宋_GB2312" w:cs="仿宋_GB2312" w:eastAsia="仿宋_GB2312"/>
              </w:rPr>
              <w:t>①隐患排查整改方案全面详实、具体、切实可行、科学合理，针对性强，赋分12分； ② 方案较细致、大部分响应内容切实可行、合理，赋分8分； ③方案模糊、目标不明确赋分4分； ④未提供得0分。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服务方案-3.根据校园安全演练方案进行赋分。</w:t>
            </w:r>
          </w:p>
        </w:tc>
        <w:tc>
          <w:tcPr>
            <w:tcW w:type="dxa" w:w="2492"/>
          </w:tcPr>
          <w:p>
            <w:pPr>
              <w:pStyle w:val="null3"/>
            </w:pPr>
            <w:r>
              <w:rPr>
                <w:rFonts w:ascii="仿宋_GB2312" w:hAnsi="仿宋_GB2312" w:cs="仿宋_GB2312" w:eastAsia="仿宋_GB2312"/>
              </w:rPr>
              <w:t>①安全演练方案及紧急情况分析详尽全面，应对措施及实施方案合理得当得8分； ②安全演练方案及紧急情况分析比较全面，应对措施 及实施方案比较合理得5分； ③安全演练方案及紧急情况分析不充分，应对措施及实施方案有欠妥当得2分； 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服务方案-4.校园安全安全培训方案进行赋分。</w:t>
            </w:r>
          </w:p>
        </w:tc>
        <w:tc>
          <w:tcPr>
            <w:tcW w:type="dxa" w:w="2492"/>
          </w:tcPr>
          <w:p>
            <w:pPr>
              <w:pStyle w:val="null3"/>
            </w:pPr>
            <w:r>
              <w:rPr>
                <w:rFonts w:ascii="仿宋_GB2312" w:hAnsi="仿宋_GB2312" w:cs="仿宋_GB2312" w:eastAsia="仿宋_GB2312"/>
              </w:rPr>
              <w:t>①培训方案有针对性、详尽全面，实施方案及成果整理内容完整得3分；②方案比较全面，实施方案及成果整理内容比较合理得2分；③方案不充分,实施方案及成果整理内容有欠妥当得1分；④未提供得0分。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服务方案-5.双重预防机制实施方案进行赋分。</w:t>
            </w:r>
          </w:p>
        </w:tc>
        <w:tc>
          <w:tcPr>
            <w:tcW w:type="dxa" w:w="2492"/>
          </w:tcPr>
          <w:p>
            <w:pPr>
              <w:pStyle w:val="null3"/>
            </w:pPr>
            <w:r>
              <w:rPr>
                <w:rFonts w:ascii="仿宋_GB2312" w:hAnsi="仿宋_GB2312" w:cs="仿宋_GB2312" w:eastAsia="仿宋_GB2312"/>
              </w:rPr>
              <w:t>①双重预防机制实施方案有针对性、详尽全面，相关内容合理得当得9分；②方案比较全面，相关内容比较合理得6分；③方案不充分，相关内容有欠妥当得3分；④未提供得0分。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人员配备-针对本项目 成立专门的服务团队（供应商提供的具有相关职业资格或相关专业的人员须能满足服务需求）。</w:t>
            </w:r>
          </w:p>
        </w:tc>
        <w:tc>
          <w:tcPr>
            <w:tcW w:type="dxa" w:w="2492"/>
          </w:tcPr>
          <w:p>
            <w:pPr>
              <w:pStyle w:val="null3"/>
            </w:pPr>
            <w:r>
              <w:rPr>
                <w:rFonts w:ascii="仿宋_GB2312" w:hAnsi="仿宋_GB2312" w:cs="仿宋_GB2312" w:eastAsia="仿宋_GB2312"/>
              </w:rPr>
              <w:t>①人员配备全面，经验丰富，证书齐全，具体岗位职责合理得当得10 分； ②人员比较全面，经验较为丰 富，证书基本齐全，具体岗位职责 比较合理得6分； ③人员欠缺，经 验不足，证书欠缺，具体岗位职责 有欠妥当得2分； ④未提供得0分。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服务计划及承诺-1.供应商服务机构健全，能提供本地化服务，并出具相关证明</w:t>
            </w:r>
          </w:p>
        </w:tc>
        <w:tc>
          <w:tcPr>
            <w:tcW w:type="dxa" w:w="2492"/>
          </w:tcPr>
          <w:p>
            <w:pPr>
              <w:pStyle w:val="null3"/>
            </w:pPr>
            <w:r>
              <w:rPr>
                <w:rFonts w:ascii="仿宋_GB2312" w:hAnsi="仿宋_GB2312" w:cs="仿宋_GB2312" w:eastAsia="仿宋_GB2312"/>
              </w:rPr>
              <w:t>1.供应商服务机构健全，能提供本地化服务，并出具相关证明，①证明材料完整齐全、内容清晰明确得6分；②证明材料简略得3分；③未提供得0分。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服务计划及承诺-2.针对本项目及采购人实际需求提供优质的服务承诺（包括但不限 于出现问题有可行性方案，解决问题时限) 。</w:t>
            </w:r>
          </w:p>
        </w:tc>
        <w:tc>
          <w:tcPr>
            <w:tcW w:type="dxa" w:w="2492"/>
          </w:tcPr>
          <w:p>
            <w:pPr>
              <w:pStyle w:val="null3"/>
            </w:pPr>
            <w:r>
              <w:rPr>
                <w:rFonts w:ascii="仿宋_GB2312" w:hAnsi="仿宋_GB2312" w:cs="仿宋_GB2312" w:eastAsia="仿宋_GB2312"/>
              </w:rPr>
              <w:t>①承诺内容详尽全面，具体内容合 理得当得8分； ②承诺比较全面，具体内容比较合理得5分； ③承诺 不充分，具体内容有欠妥当得2分 。 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服务计划及承诺-3.服 务人员与采购人能有 良好工作配合的承诺。</w:t>
            </w:r>
          </w:p>
        </w:tc>
        <w:tc>
          <w:tcPr>
            <w:tcW w:type="dxa" w:w="2492"/>
          </w:tcPr>
          <w:p>
            <w:pPr>
              <w:pStyle w:val="null3"/>
            </w:pPr>
            <w:r>
              <w:rPr>
                <w:rFonts w:ascii="仿宋_GB2312" w:hAnsi="仿宋_GB2312" w:cs="仿宋_GB2312" w:eastAsia="仿宋_GB2312"/>
              </w:rPr>
              <w:t>①承诺内容详尽全面，具体内容合理得当得8分；②承诺比较全面，具体内容比较合理得5分；③承诺不充分，具体内容有欠妥当得2分。④未提供得0分。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服务计划及承诺-4.供 应商提供切实可行的 保密措施及承诺，对 其所获取的信息保密。</w:t>
            </w:r>
          </w:p>
        </w:tc>
        <w:tc>
          <w:tcPr>
            <w:tcW w:type="dxa" w:w="2492"/>
          </w:tcPr>
          <w:p>
            <w:pPr>
              <w:pStyle w:val="null3"/>
            </w:pPr>
            <w:r>
              <w:rPr>
                <w:rFonts w:ascii="仿宋_GB2312" w:hAnsi="仿宋_GB2312" w:cs="仿宋_GB2312" w:eastAsia="仿宋_GB2312"/>
              </w:rPr>
              <w:t>①承诺内容详尽全面，具体内容合 理得当得8分； ②承诺比较全面，具体内容比较合理得5分；③承诺不充分，具体内容有欠妥当得2分。④未提供得0分。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业绩-供应商具有（2023年1月至今，以合同 签订的日期为准）类似项目业绩</w:t>
            </w:r>
          </w:p>
        </w:tc>
        <w:tc>
          <w:tcPr>
            <w:tcW w:type="dxa" w:w="2492"/>
          </w:tcPr>
          <w:p>
            <w:pPr>
              <w:pStyle w:val="null3"/>
            </w:pPr>
            <w:r>
              <w:rPr>
                <w:rFonts w:ascii="仿宋_GB2312" w:hAnsi="仿宋_GB2312" w:cs="仿宋_GB2312" w:eastAsia="仿宋_GB2312"/>
              </w:rPr>
              <w:t>供应商具有（2023年1月至今，以合同签订的日期为准）类似项目业绩，每提供1份计2分，满分10分。注：响应文件中提供合同复印件 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 分统一按照下列公式计算： 磋商报 价得分=（磋商基准价/磋商报价）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磋商报价表及分项报价表.docx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详见附件：磋商报价表及分项报价表.docx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详见附件：授权委托书及联合体.docx</w:t>
      </w:r>
    </w:p>
    <w:p>
      <w:pPr>
        <w:pStyle w:val="null3"/>
        <w:ind w:firstLine="960"/>
      </w:pPr>
      <w:r>
        <w:rPr>
          <w:rFonts w:ascii="仿宋_GB2312" w:hAnsi="仿宋_GB2312" w:cs="仿宋_GB2312" w:eastAsia="仿宋_GB2312"/>
        </w:rPr>
        <w:t>详见附件：项目业绩表.docx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详见附件：磋商报价表及分项报价表.docx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详见附件：授权委托书及联合体.docx</w:t>
      </w:r>
    </w:p>
    <w:p>
      <w:pPr>
        <w:pStyle w:val="null3"/>
        <w:ind w:firstLine="960"/>
      </w:pPr>
      <w:r>
        <w:rPr>
          <w:rFonts w:ascii="仿宋_GB2312" w:hAnsi="仿宋_GB2312" w:cs="仿宋_GB2312" w:eastAsia="仿宋_GB2312"/>
        </w:rPr>
        <w:t>详见附件：项目业绩表.docx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详见附件：合同上传.docx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