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8F948">
      <w:pPr>
        <w:spacing w:line="560" w:lineRule="exact"/>
        <w:jc w:val="center"/>
        <w:rPr>
          <w:rFonts w:ascii="方正小标宋简体" w:hAnsi="仿宋" w:eastAsia="方正小标宋简体" w:cs="仿宋"/>
          <w:bCs/>
          <w:sz w:val="44"/>
          <w:szCs w:val="44"/>
        </w:rPr>
      </w:pPr>
    </w:p>
    <w:p w14:paraId="20652EDC">
      <w:pPr>
        <w:spacing w:line="560" w:lineRule="exact"/>
        <w:jc w:val="center"/>
        <w:rPr>
          <w:rFonts w:ascii="方正小标宋简体" w:hAnsi="仿宋" w:eastAsia="方正小标宋简体" w:cs="仿宋"/>
          <w:bCs/>
          <w:sz w:val="44"/>
          <w:szCs w:val="44"/>
        </w:rPr>
      </w:pPr>
      <w:r>
        <w:rPr>
          <w:rFonts w:hint="eastAsia" w:ascii="方正小标宋简体" w:hAnsi="仿宋" w:eastAsia="方正小标宋简体" w:cs="仿宋"/>
          <w:bCs/>
          <w:sz w:val="44"/>
          <w:szCs w:val="44"/>
        </w:rPr>
        <w:t>安全技术咨询服务合同</w:t>
      </w:r>
    </w:p>
    <w:p w14:paraId="41E1042D">
      <w:pPr>
        <w:tabs>
          <w:tab w:val="left" w:pos="735"/>
        </w:tabs>
        <w:autoSpaceDE w:val="0"/>
        <w:autoSpaceDN w:val="0"/>
        <w:spacing w:line="560" w:lineRule="exact"/>
        <w:ind w:firstLine="643" w:firstLineChars="200"/>
        <w:rPr>
          <w:rFonts w:ascii="仿宋" w:hAnsi="仿宋" w:eastAsia="仿宋" w:cs="仿宋"/>
          <w:bCs/>
          <w:sz w:val="32"/>
          <w:szCs w:val="32"/>
          <w:lang w:val="zh-CN"/>
        </w:rPr>
      </w:pPr>
      <w:r>
        <w:rPr>
          <w:rFonts w:hint="eastAsia" w:ascii="仿宋" w:hAnsi="仿宋" w:eastAsia="仿宋" w:cs="仿宋"/>
          <w:b/>
          <w:bCs/>
          <w:sz w:val="32"/>
          <w:szCs w:val="32"/>
          <w:lang w:val="zh-CN"/>
        </w:rPr>
        <w:t>甲方：西安高新技术产业开发区教育体育局</w:t>
      </w:r>
    </w:p>
    <w:p w14:paraId="758ABD98">
      <w:pPr>
        <w:tabs>
          <w:tab w:val="left" w:pos="735"/>
        </w:tabs>
        <w:autoSpaceDE w:val="0"/>
        <w:autoSpaceDN w:val="0"/>
        <w:spacing w:line="560" w:lineRule="exact"/>
        <w:ind w:firstLine="643" w:firstLineChars="200"/>
        <w:rPr>
          <w:rFonts w:ascii="仿宋" w:hAnsi="仿宋" w:eastAsia="仿宋" w:cs="仿宋"/>
          <w:sz w:val="32"/>
          <w:szCs w:val="32"/>
          <w:lang w:val="zh-CN"/>
        </w:rPr>
      </w:pPr>
      <w:r>
        <w:rPr>
          <w:rFonts w:hint="eastAsia" w:ascii="仿宋" w:hAnsi="仿宋" w:eastAsia="仿宋" w:cs="仿宋"/>
          <w:b/>
          <w:bCs/>
          <w:sz w:val="32"/>
          <w:szCs w:val="32"/>
          <w:lang w:val="zh-CN"/>
        </w:rPr>
        <w:t>乙方：</w:t>
      </w:r>
    </w:p>
    <w:p w14:paraId="66547814">
      <w:pPr>
        <w:spacing w:line="560" w:lineRule="exact"/>
        <w:ind w:firstLine="640" w:firstLineChars="200"/>
        <w:rPr>
          <w:rFonts w:ascii="仿宋_GB2312" w:hAnsi="仿宋" w:eastAsia="仿宋_GB2312" w:cs="仿宋"/>
          <w:sz w:val="32"/>
          <w:szCs w:val="32"/>
          <w:lang w:val="zh-CN"/>
        </w:rPr>
      </w:pPr>
      <w:r>
        <w:rPr>
          <w:rFonts w:hint="eastAsia" w:ascii="仿宋_GB2312" w:hAnsi="仿宋" w:eastAsia="仿宋_GB2312" w:cs="仿宋"/>
          <w:sz w:val="32"/>
          <w:szCs w:val="32"/>
          <w:lang w:val="zh-CN"/>
        </w:rPr>
        <w:t>高新区教育体育局2026年校园安全技术服务项目(项目编号：</w:t>
      </w:r>
      <w:r>
        <w:rPr>
          <w:rFonts w:hint="eastAsia" w:ascii="仿宋_GB2312" w:hAnsi="仿宋" w:eastAsia="仿宋_GB2312" w:cs="仿宋"/>
          <w:sz w:val="32"/>
          <w:szCs w:val="32"/>
          <w:u w:val="single"/>
        </w:rPr>
        <w:t xml:space="preserve">        </w:t>
      </w:r>
      <w:r>
        <w:rPr>
          <w:rFonts w:hint="eastAsia" w:ascii="仿宋_GB2312" w:hAnsi="仿宋" w:eastAsia="仿宋_GB2312" w:cs="仿宋"/>
          <w:sz w:val="32"/>
          <w:szCs w:val="32"/>
          <w:lang w:val="zh-CN"/>
        </w:rPr>
        <w:t>)，由陕西中技招标有限公司组织自行采购，西安高新技术产业开发区教育体育局(以下简称“甲方”)，确定</w:t>
      </w:r>
      <w:r>
        <w:rPr>
          <w:rFonts w:hint="eastAsia" w:ascii="仿宋_GB2312" w:hAnsi="仿宋" w:eastAsia="仿宋_GB2312" w:cs="仿宋"/>
          <w:sz w:val="32"/>
          <w:szCs w:val="32"/>
          <w:u w:val="single"/>
        </w:rPr>
        <w:t xml:space="preserve">          </w:t>
      </w:r>
      <w:r>
        <w:rPr>
          <w:rFonts w:hint="eastAsia" w:ascii="仿宋_GB2312" w:hAnsi="仿宋" w:eastAsia="仿宋_GB2312" w:cs="仿宋"/>
          <w:sz w:val="32"/>
          <w:szCs w:val="32"/>
          <w:lang w:val="zh-CN"/>
        </w:rPr>
        <w:t>（以下简称“乙方”）为该项目的成交供应商。</w:t>
      </w:r>
    </w:p>
    <w:p w14:paraId="07FA00F0">
      <w:pPr>
        <w:spacing w:line="560" w:lineRule="exact"/>
        <w:ind w:firstLine="640" w:firstLineChars="200"/>
        <w:rPr>
          <w:rFonts w:ascii="仿宋_GB2312" w:hAnsi="仿宋" w:eastAsia="仿宋_GB2312" w:cs="仿宋"/>
          <w:b/>
          <w:bCs/>
          <w:sz w:val="32"/>
          <w:szCs w:val="32"/>
          <w:lang w:val="zh-CN"/>
        </w:rPr>
      </w:pPr>
      <w:r>
        <w:rPr>
          <w:rFonts w:hint="eastAsia" w:ascii="仿宋_GB2312" w:hAnsi="仿宋" w:eastAsia="仿宋_GB2312" w:cs="仿宋"/>
          <w:sz w:val="32"/>
          <w:szCs w:val="32"/>
          <w:lang w:val="zh-CN"/>
        </w:rPr>
        <w:t>依据《中华人民共和国民法典》和《中华人民共和国政府采购法》之规定，经双方在平等、自愿、互利的基础上，签订本合同，共同信守。</w:t>
      </w:r>
    </w:p>
    <w:p w14:paraId="190159AA">
      <w:pPr>
        <w:tabs>
          <w:tab w:val="left" w:pos="735"/>
        </w:tabs>
        <w:autoSpaceDE w:val="0"/>
        <w:autoSpaceDN w:val="0"/>
        <w:spacing w:line="560" w:lineRule="exact"/>
        <w:ind w:firstLine="640" w:firstLineChars="200"/>
        <w:rPr>
          <w:rFonts w:ascii="黑体" w:hAnsi="黑体" w:eastAsia="黑体" w:cs="仿宋"/>
          <w:bCs/>
          <w:sz w:val="32"/>
          <w:szCs w:val="32"/>
          <w:lang w:val="zh-CN"/>
        </w:rPr>
      </w:pPr>
      <w:r>
        <w:rPr>
          <w:rFonts w:hint="eastAsia" w:ascii="黑体" w:hAnsi="黑体" w:eastAsia="黑体" w:cs="仿宋"/>
          <w:bCs/>
          <w:sz w:val="32"/>
          <w:szCs w:val="32"/>
          <w:lang w:val="zh-CN"/>
        </w:rPr>
        <w:t>一、</w:t>
      </w:r>
      <w:r>
        <w:rPr>
          <w:rFonts w:hint="eastAsia" w:ascii="黑体" w:hAnsi="黑体" w:eastAsia="黑体" w:cs="仿宋"/>
          <w:bCs/>
          <w:sz w:val="32"/>
          <w:szCs w:val="32"/>
        </w:rPr>
        <w:t>服务</w:t>
      </w:r>
      <w:r>
        <w:rPr>
          <w:rFonts w:hint="eastAsia" w:ascii="黑体" w:hAnsi="黑体" w:eastAsia="黑体" w:cs="仿宋"/>
          <w:bCs/>
          <w:sz w:val="32"/>
          <w:szCs w:val="32"/>
          <w:lang w:val="zh-CN"/>
        </w:rPr>
        <w:t>内容：</w:t>
      </w:r>
    </w:p>
    <w:p w14:paraId="4F82CD51">
      <w:pPr>
        <w:tabs>
          <w:tab w:val="left" w:pos="735"/>
        </w:tabs>
        <w:spacing w:line="560" w:lineRule="exact"/>
        <w:ind w:firstLine="643" w:firstLineChars="200"/>
        <w:rPr>
          <w:rFonts w:ascii="仿宋_GB2312" w:hAnsi="仿宋" w:eastAsia="仿宋_GB2312" w:cs="仿宋"/>
          <w:b/>
          <w:sz w:val="32"/>
          <w:szCs w:val="32"/>
        </w:rPr>
      </w:pPr>
      <w:r>
        <w:rPr>
          <w:rFonts w:hint="eastAsia" w:ascii="仿宋_GB2312" w:hAnsi="仿宋" w:eastAsia="仿宋_GB2312" w:cs="仿宋"/>
          <w:b/>
          <w:sz w:val="32"/>
          <w:szCs w:val="32"/>
        </w:rPr>
        <w:t>（一）校园安全隐患排查整改</w:t>
      </w:r>
    </w:p>
    <w:p w14:paraId="13ACBE52">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1、建立辖区内学校消防安全、燃气安全、防汛安全、三防、特种设备、电器安全、危化品、宿舍管理、校舍安全、工程管理等安全管理基础信息台账。</w:t>
      </w:r>
    </w:p>
    <w:p w14:paraId="0FA7CF39">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每学年至少组织开展1次覆盖全体学校的校园安全隐患排查；对排查发现的问题，建立整改台账，逐项督促学校限期整改，并严格落实整改复查闭环机制，确保隐患清零。同时，全过程做好检查记录、整改印证等资料的收集归档与规范管理。</w:t>
      </w:r>
    </w:p>
    <w:p w14:paraId="06375386">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3、每学期组织一次“校园安全问题指导座谈总结会”。</w:t>
      </w:r>
    </w:p>
    <w:p w14:paraId="386ECAA1">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4、结合新政策及实际修订标准化操作指南。</w:t>
      </w:r>
    </w:p>
    <w:p w14:paraId="1D11FF82">
      <w:pPr>
        <w:tabs>
          <w:tab w:val="left" w:pos="735"/>
        </w:tabs>
        <w:spacing w:line="560" w:lineRule="exact"/>
        <w:ind w:firstLine="643" w:firstLineChars="200"/>
        <w:rPr>
          <w:rFonts w:ascii="仿宋_GB2312" w:hAnsi="仿宋" w:eastAsia="仿宋_GB2312" w:cs="仿宋"/>
          <w:b/>
          <w:sz w:val="32"/>
          <w:szCs w:val="32"/>
        </w:rPr>
      </w:pPr>
      <w:r>
        <w:rPr>
          <w:rFonts w:hint="eastAsia" w:ascii="仿宋_GB2312" w:hAnsi="仿宋" w:eastAsia="仿宋_GB2312" w:cs="仿宋"/>
          <w:b/>
          <w:sz w:val="32"/>
          <w:szCs w:val="32"/>
        </w:rPr>
        <w:t>（二）校园安全演练</w:t>
      </w:r>
    </w:p>
    <w:p w14:paraId="1A58B4B7">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1、除寒暑假，全年至少开展5次实战演练指导；同时组织周边学校观摩学习，确保全年辖区内所有学校（含民办、职业学校）应急演练参与率达100%。</w:t>
      </w:r>
      <w:bookmarkStart w:id="1" w:name="_GoBack"/>
      <w:bookmarkEnd w:id="1"/>
    </w:p>
    <w:p w14:paraId="02468E07">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2、收集每次演练的资料，汇编成册，并对每次演练全过程进行视频录制，整理形成《校园应急演练视频案例库》。</w:t>
      </w:r>
    </w:p>
    <w:p w14:paraId="03DB9ABA">
      <w:pPr>
        <w:tabs>
          <w:tab w:val="left" w:pos="735"/>
        </w:tabs>
        <w:spacing w:line="560" w:lineRule="exact"/>
        <w:ind w:firstLine="643" w:firstLineChars="200"/>
        <w:rPr>
          <w:rFonts w:ascii="仿宋_GB2312" w:hAnsi="黑体" w:eastAsia="仿宋_GB2312" w:cs="仿宋"/>
          <w:b/>
          <w:sz w:val="32"/>
          <w:szCs w:val="32"/>
        </w:rPr>
      </w:pPr>
      <w:r>
        <w:rPr>
          <w:rFonts w:hint="eastAsia" w:ascii="仿宋_GB2312" w:hAnsi="黑体" w:eastAsia="仿宋_GB2312" w:cs="仿宋"/>
          <w:b/>
          <w:sz w:val="32"/>
          <w:szCs w:val="32"/>
        </w:rPr>
        <w:t>（三）校园安全安全培训会</w:t>
      </w:r>
    </w:p>
    <w:p w14:paraId="44B35D2B">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通过检查、座谈等工作，梳理学校薄弱环节，有针对性组织1次专业化校园安全培训，提升校园安全管理水平。</w:t>
      </w:r>
    </w:p>
    <w:p w14:paraId="7D22A060">
      <w:pPr>
        <w:tabs>
          <w:tab w:val="left" w:pos="735"/>
        </w:tabs>
        <w:spacing w:line="560" w:lineRule="exact"/>
        <w:ind w:firstLine="643" w:firstLineChars="200"/>
        <w:rPr>
          <w:rFonts w:ascii="仿宋_GB2312" w:hAnsi="仿宋" w:eastAsia="仿宋_GB2312" w:cs="仿宋"/>
          <w:b/>
          <w:sz w:val="32"/>
          <w:szCs w:val="32"/>
        </w:rPr>
      </w:pPr>
      <w:r>
        <w:rPr>
          <w:rFonts w:hint="eastAsia" w:ascii="仿宋_GB2312" w:hAnsi="仿宋" w:eastAsia="仿宋_GB2312" w:cs="仿宋"/>
          <w:b/>
          <w:sz w:val="32"/>
          <w:szCs w:val="32"/>
        </w:rPr>
        <w:t>（四）双重预防机制工作报告</w:t>
      </w:r>
    </w:p>
    <w:p w14:paraId="6C2DC14B">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1、全年完成</w:t>
      </w:r>
      <w:r>
        <w:rPr>
          <w:rFonts w:hint="eastAsia" w:ascii="仿宋_GB2312" w:hAnsi="仿宋" w:eastAsia="仿宋_GB2312" w:cs="仿宋"/>
          <w:sz w:val="32"/>
          <w:szCs w:val="32"/>
          <w:lang w:val="en-US" w:eastAsia="zh-CN"/>
        </w:rPr>
        <w:t>15</w:t>
      </w:r>
      <w:r>
        <w:rPr>
          <w:rFonts w:hint="eastAsia" w:ascii="仿宋_GB2312" w:hAnsi="仿宋" w:eastAsia="仿宋_GB2312" w:cs="仿宋"/>
          <w:sz w:val="32"/>
          <w:szCs w:val="32"/>
        </w:rPr>
        <w:t>所学校的双重预防机制建设任务，全面建成风险分级管控与隐患排查治理双重预防体系，实现校园安全管理从被动应对向主动防范转变。</w:t>
      </w:r>
    </w:p>
    <w:p w14:paraId="4BCC3A2F">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2、通过健全制度预案、编制“两清单”（风险管控清单、隐患排查清单）、建立风险点与隐患管理台账、绘制四色风险分布图等举措，全面夯实“一图两清单”工作基础，实现风险可视、责任可溯、管理有据。</w:t>
      </w:r>
    </w:p>
    <w:p w14:paraId="16A396A6">
      <w:pPr>
        <w:tabs>
          <w:tab w:val="left" w:pos="735"/>
        </w:tabs>
        <w:spacing w:line="560" w:lineRule="exact"/>
        <w:ind w:firstLine="643" w:firstLineChars="200"/>
        <w:rPr>
          <w:rFonts w:ascii="仿宋_GB2312" w:hAnsi="仿宋" w:eastAsia="仿宋_GB2312" w:cs="仿宋"/>
          <w:b/>
          <w:sz w:val="32"/>
          <w:szCs w:val="32"/>
        </w:rPr>
      </w:pPr>
      <w:r>
        <w:rPr>
          <w:rFonts w:hint="eastAsia" w:ascii="仿宋_GB2312" w:hAnsi="仿宋" w:eastAsia="仿宋_GB2312" w:cs="仿宋"/>
          <w:b/>
          <w:sz w:val="32"/>
          <w:szCs w:val="32"/>
        </w:rPr>
        <w:t>（五）其他</w:t>
      </w:r>
    </w:p>
    <w:p w14:paraId="75D57D9A">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完成省、市、管委会交办的安全相关工作任务。</w:t>
      </w:r>
    </w:p>
    <w:p w14:paraId="7F31D93E">
      <w:pPr>
        <w:tabs>
          <w:tab w:val="left" w:pos="735"/>
        </w:tabs>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二、合同价款</w:t>
      </w:r>
    </w:p>
    <w:p w14:paraId="504AC466">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1、合同总价：</w:t>
      </w:r>
    </w:p>
    <w:p w14:paraId="5CB7D79C">
      <w:pPr>
        <w:tabs>
          <w:tab w:val="left" w:pos="735"/>
        </w:tabs>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2、合同总价包括：完成本项目所需的一切费用（含税），据实结算。</w:t>
      </w:r>
    </w:p>
    <w:p w14:paraId="69ABD94B">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3、甲方有权根据实际工作量变化减少服务内容及合同金额，但不接受追加金额。</w:t>
      </w:r>
    </w:p>
    <w:p w14:paraId="36472F05">
      <w:pPr>
        <w:tabs>
          <w:tab w:val="left" w:pos="735"/>
        </w:tabs>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三、合同结算</w:t>
      </w:r>
    </w:p>
    <w:p w14:paraId="2F9C102D">
      <w:pPr>
        <w:tabs>
          <w:tab w:val="left" w:pos="735"/>
        </w:tabs>
        <w:autoSpaceDE w:val="0"/>
        <w:autoSpaceDN w:val="0"/>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1、付款方式：签订合同后，项目实施五个月后，支付合同总价款的50%，服务期满，提交成果资料，经验收合格后支付剩余50%合同款。</w:t>
      </w:r>
    </w:p>
    <w:p w14:paraId="29173172">
      <w:pPr>
        <w:tabs>
          <w:tab w:val="left" w:pos="735"/>
        </w:tabs>
        <w:autoSpaceDE w:val="0"/>
        <w:autoSpaceDN w:val="0"/>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2、结算方式：银行转账。</w:t>
      </w:r>
    </w:p>
    <w:p w14:paraId="43F99202">
      <w:pPr>
        <w:tabs>
          <w:tab w:val="left" w:pos="735"/>
        </w:tabs>
        <w:autoSpaceDE w:val="0"/>
        <w:autoSpaceDN w:val="0"/>
        <w:spacing w:line="560" w:lineRule="exact"/>
        <w:ind w:firstLine="640" w:firstLineChars="200"/>
        <w:rPr>
          <w:rFonts w:hint="default" w:ascii="仿宋_GB2312" w:hAnsi="仿宋" w:eastAsia="仿宋_GB2312" w:cs="仿宋"/>
          <w:sz w:val="32"/>
          <w:szCs w:val="32"/>
          <w:lang w:val="en-US" w:eastAsia="zh-CN"/>
        </w:rPr>
      </w:pPr>
      <w:r>
        <w:rPr>
          <w:rFonts w:hint="eastAsia" w:ascii="仿宋_GB2312" w:hAnsi="仿宋" w:eastAsia="仿宋_GB2312" w:cs="仿宋"/>
          <w:sz w:val="32"/>
          <w:szCs w:val="32"/>
        </w:rPr>
        <w:t>3、结算单位：由</w:t>
      </w:r>
      <w:r>
        <w:rPr>
          <w:rFonts w:hint="eastAsia" w:ascii="仿宋_GB2312" w:hAnsi="仿宋" w:eastAsia="仿宋_GB2312" w:cs="仿宋"/>
          <w:sz w:val="32"/>
          <w:szCs w:val="32"/>
          <w:lang w:val="zh-CN"/>
        </w:rPr>
        <w:t>甲方</w:t>
      </w:r>
      <w:r>
        <w:rPr>
          <w:rFonts w:hint="eastAsia" w:ascii="仿宋_GB2312" w:hAnsi="仿宋" w:eastAsia="仿宋_GB2312" w:cs="仿宋"/>
          <w:sz w:val="32"/>
          <w:szCs w:val="32"/>
        </w:rPr>
        <w:t>负责结算，甲方付款前，乙方需开具合法有效发票。</w:t>
      </w:r>
    </w:p>
    <w:p w14:paraId="65B510F5">
      <w:pPr>
        <w:tabs>
          <w:tab w:val="left" w:pos="735"/>
        </w:tabs>
        <w:autoSpaceDE w:val="0"/>
        <w:autoSpaceDN w:val="0"/>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4、乙方收款信息：</w:t>
      </w:r>
    </w:p>
    <w:p w14:paraId="0A6C2C62">
      <w:pPr>
        <w:tabs>
          <w:tab w:val="left" w:pos="735"/>
        </w:tabs>
        <w:autoSpaceDE w:val="0"/>
        <w:autoSpaceDN w:val="0"/>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账户名称：</w:t>
      </w:r>
    </w:p>
    <w:p w14:paraId="5602E01E">
      <w:pPr>
        <w:tabs>
          <w:tab w:val="left" w:pos="735"/>
        </w:tabs>
        <w:autoSpaceDE w:val="0"/>
        <w:autoSpaceDN w:val="0"/>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银行账号：</w:t>
      </w:r>
    </w:p>
    <w:p w14:paraId="348B8DBF">
      <w:pPr>
        <w:tabs>
          <w:tab w:val="left" w:pos="735"/>
        </w:tabs>
        <w:autoSpaceDE w:val="0"/>
        <w:autoSpaceDN w:val="0"/>
        <w:spacing w:line="560" w:lineRule="exact"/>
        <w:ind w:firstLine="640" w:firstLineChars="200"/>
        <w:rPr>
          <w:rFonts w:ascii="仿宋_GB2312" w:eastAsia="仿宋_GB2312"/>
          <w:sz w:val="32"/>
          <w:szCs w:val="32"/>
        </w:rPr>
      </w:pPr>
      <w:r>
        <w:rPr>
          <w:rFonts w:hint="eastAsia" w:ascii="仿宋_GB2312" w:hAnsi="仿宋" w:eastAsia="仿宋_GB2312" w:cs="仿宋"/>
          <w:sz w:val="32"/>
          <w:szCs w:val="32"/>
        </w:rPr>
        <w:t>开户行名称：</w:t>
      </w:r>
    </w:p>
    <w:p w14:paraId="1EFAF513">
      <w:pPr>
        <w:tabs>
          <w:tab w:val="left" w:pos="735"/>
        </w:tabs>
        <w:autoSpaceDE w:val="0"/>
        <w:autoSpaceDN w:val="0"/>
        <w:spacing w:line="560" w:lineRule="exact"/>
        <w:ind w:firstLine="640" w:firstLineChars="200"/>
        <w:rPr>
          <w:rFonts w:ascii="黑体" w:hAnsi="黑体" w:eastAsia="黑体" w:cs="仿宋"/>
          <w:bCs/>
          <w:sz w:val="32"/>
          <w:szCs w:val="32"/>
          <w:lang w:val="zh-CN"/>
        </w:rPr>
      </w:pPr>
      <w:r>
        <w:rPr>
          <w:rFonts w:hint="eastAsia" w:ascii="黑体" w:hAnsi="黑体" w:eastAsia="黑体" w:cs="仿宋"/>
          <w:bCs/>
          <w:sz w:val="32"/>
          <w:szCs w:val="32"/>
          <w:lang w:val="zh-CN"/>
        </w:rPr>
        <w:t>四、</w:t>
      </w:r>
      <w:r>
        <w:rPr>
          <w:rFonts w:hint="eastAsia" w:ascii="黑体" w:hAnsi="黑体" w:eastAsia="黑体" w:cs="仿宋"/>
          <w:bCs/>
          <w:sz w:val="32"/>
          <w:szCs w:val="32"/>
        </w:rPr>
        <w:t>服务</w:t>
      </w:r>
      <w:r>
        <w:rPr>
          <w:rFonts w:hint="eastAsia" w:ascii="黑体" w:hAnsi="黑体" w:eastAsia="黑体" w:cs="仿宋"/>
          <w:bCs/>
          <w:sz w:val="32"/>
          <w:szCs w:val="32"/>
          <w:lang w:val="zh-CN"/>
        </w:rPr>
        <w:t>期限、地点及方式：</w:t>
      </w:r>
    </w:p>
    <w:p w14:paraId="3F3DF7FA">
      <w:pPr>
        <w:tabs>
          <w:tab w:val="left" w:pos="0"/>
        </w:tabs>
        <w:autoSpaceDE w:val="0"/>
        <w:autoSpaceDN w:val="0"/>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bCs/>
          <w:sz w:val="32"/>
          <w:szCs w:val="32"/>
          <w:lang w:val="zh-CN"/>
        </w:rPr>
        <w:t>1、</w:t>
      </w:r>
      <w:r>
        <w:rPr>
          <w:rFonts w:hint="eastAsia" w:ascii="仿宋_GB2312" w:hAnsi="仿宋" w:eastAsia="仿宋_GB2312" w:cs="仿宋"/>
          <w:bCs/>
          <w:sz w:val="32"/>
          <w:szCs w:val="32"/>
        </w:rPr>
        <w:t>服务</w:t>
      </w:r>
      <w:r>
        <w:rPr>
          <w:rFonts w:hint="eastAsia" w:ascii="仿宋_GB2312" w:hAnsi="仿宋" w:eastAsia="仿宋_GB2312" w:cs="仿宋"/>
          <w:bCs/>
          <w:sz w:val="32"/>
          <w:szCs w:val="32"/>
          <w:lang w:val="zh-CN"/>
        </w:rPr>
        <w:t>期限：</w:t>
      </w:r>
    </w:p>
    <w:p w14:paraId="599935ED">
      <w:pPr>
        <w:tabs>
          <w:tab w:val="left" w:pos="0"/>
        </w:tabs>
        <w:autoSpaceDE w:val="0"/>
        <w:autoSpaceDN w:val="0"/>
        <w:spacing w:line="560" w:lineRule="exact"/>
        <w:ind w:firstLine="640" w:firstLineChars="200"/>
        <w:rPr>
          <w:rFonts w:ascii="仿宋_GB2312" w:hAnsi="仿宋" w:eastAsia="仿宋_GB2312" w:cs="仿宋"/>
          <w:bCs/>
          <w:sz w:val="32"/>
          <w:szCs w:val="32"/>
          <w:lang w:val="zh-CN"/>
        </w:rPr>
      </w:pPr>
      <w:r>
        <w:rPr>
          <w:rFonts w:hint="eastAsia" w:ascii="仿宋_GB2312" w:hAnsi="仿宋" w:eastAsia="仿宋_GB2312" w:cs="仿宋"/>
          <w:bCs/>
          <w:sz w:val="32"/>
          <w:szCs w:val="32"/>
          <w:lang w:val="zh-CN"/>
        </w:rPr>
        <w:t>2、地点：</w:t>
      </w:r>
    </w:p>
    <w:p w14:paraId="6614F44B">
      <w:pPr>
        <w:spacing w:line="560" w:lineRule="exact"/>
        <w:ind w:firstLine="640" w:firstLineChars="200"/>
        <w:rPr>
          <w:rFonts w:ascii="仿宋_GB2312" w:hAnsi="仿宋" w:eastAsia="仿宋_GB2312" w:cs="仿宋"/>
          <w:bCs/>
          <w:sz w:val="32"/>
          <w:szCs w:val="32"/>
          <w:lang w:val="zh-CN"/>
        </w:rPr>
      </w:pPr>
      <w:r>
        <w:rPr>
          <w:rFonts w:hint="eastAsia" w:ascii="仿宋_GB2312" w:hAnsi="仿宋" w:eastAsia="仿宋_GB2312" w:cs="仿宋"/>
          <w:bCs/>
          <w:sz w:val="32"/>
          <w:szCs w:val="32"/>
          <w:lang w:val="zh-CN"/>
        </w:rPr>
        <w:t>3、方式：以实际履行合同的服务内容为准。</w:t>
      </w:r>
    </w:p>
    <w:p w14:paraId="1CF1C6FE">
      <w:pPr>
        <w:spacing w:line="560" w:lineRule="exact"/>
        <w:ind w:firstLine="640" w:firstLineChars="200"/>
        <w:rPr>
          <w:rFonts w:ascii="黑体" w:hAnsi="黑体" w:eastAsia="黑体" w:cs="仿宋"/>
          <w:sz w:val="32"/>
          <w:szCs w:val="32"/>
        </w:rPr>
      </w:pPr>
      <w:r>
        <w:rPr>
          <w:rFonts w:hint="eastAsia" w:ascii="黑体" w:hAnsi="黑体" w:eastAsia="黑体" w:cs="仿宋"/>
          <w:bCs/>
          <w:sz w:val="32"/>
          <w:szCs w:val="32"/>
          <w:lang w:val="zh-CN"/>
        </w:rPr>
        <w:t>五、验收依据</w:t>
      </w:r>
    </w:p>
    <w:p w14:paraId="3F7AF8CC">
      <w:pPr>
        <w:spacing w:line="560" w:lineRule="exact"/>
        <w:ind w:firstLine="640" w:firstLineChars="200"/>
        <w:rPr>
          <w:rFonts w:ascii="仿宋_GB2312" w:hAnsi="仿宋" w:eastAsia="仿宋_GB2312" w:cs="仿宋"/>
          <w:bCs/>
          <w:sz w:val="32"/>
          <w:szCs w:val="32"/>
          <w:lang w:val="zh-CN"/>
        </w:rPr>
      </w:pPr>
      <w:r>
        <w:rPr>
          <w:rFonts w:hint="eastAsia" w:ascii="仿宋_GB2312" w:hAnsi="仿宋" w:eastAsia="仿宋_GB2312" w:cs="仿宋"/>
          <w:bCs/>
          <w:sz w:val="32"/>
          <w:szCs w:val="32"/>
          <w:lang w:val="zh-CN"/>
        </w:rPr>
        <w:t>（</w:t>
      </w:r>
      <w:r>
        <w:rPr>
          <w:rFonts w:hint="eastAsia" w:ascii="仿宋_GB2312" w:hAnsi="仿宋" w:eastAsia="仿宋_GB2312" w:cs="仿宋"/>
          <w:bCs/>
          <w:sz w:val="32"/>
          <w:szCs w:val="32"/>
        </w:rPr>
        <w:t>一</w:t>
      </w:r>
      <w:r>
        <w:rPr>
          <w:rFonts w:hint="eastAsia" w:ascii="仿宋_GB2312" w:hAnsi="仿宋" w:eastAsia="仿宋_GB2312" w:cs="仿宋"/>
          <w:bCs/>
          <w:sz w:val="32"/>
          <w:szCs w:val="32"/>
          <w:lang w:val="zh-CN"/>
        </w:rPr>
        <w:t>）服务期满后，乙方须向甲方提交完整成果资料，甲方将依据合同约定及相关标准进行核验：验收合格的，双方签署验收单并据实全额支付费用；验收不合格的，甲方将结合乙方实际完成工作量及整改成效，按实核算并支付相应费用。</w:t>
      </w:r>
    </w:p>
    <w:p w14:paraId="2333211A">
      <w:pPr>
        <w:spacing w:line="560" w:lineRule="exact"/>
        <w:ind w:firstLine="640" w:firstLineChars="200"/>
        <w:rPr>
          <w:rFonts w:ascii="仿宋_GB2312" w:hAnsi="仿宋" w:eastAsia="仿宋_GB2312" w:cs="仿宋"/>
          <w:bCs/>
          <w:sz w:val="32"/>
          <w:szCs w:val="32"/>
          <w:lang w:val="zh-CN"/>
        </w:rPr>
      </w:pPr>
      <w:r>
        <w:rPr>
          <w:rFonts w:hint="eastAsia" w:ascii="仿宋_GB2312" w:hAnsi="仿宋" w:eastAsia="仿宋_GB2312" w:cs="仿宋"/>
          <w:bCs/>
          <w:sz w:val="32"/>
          <w:szCs w:val="32"/>
          <w:lang w:val="zh-CN"/>
        </w:rPr>
        <w:t>（</w:t>
      </w:r>
      <w:r>
        <w:rPr>
          <w:rFonts w:hint="eastAsia" w:ascii="仿宋_GB2312" w:hAnsi="仿宋" w:eastAsia="仿宋_GB2312" w:cs="仿宋"/>
          <w:bCs/>
          <w:sz w:val="32"/>
          <w:szCs w:val="32"/>
        </w:rPr>
        <w:t>二</w:t>
      </w:r>
      <w:r>
        <w:rPr>
          <w:rFonts w:hint="eastAsia" w:ascii="仿宋_GB2312" w:hAnsi="仿宋" w:eastAsia="仿宋_GB2312" w:cs="仿宋"/>
          <w:bCs/>
          <w:sz w:val="32"/>
          <w:szCs w:val="32"/>
          <w:lang w:val="zh-CN"/>
        </w:rPr>
        <w:t>）验收依据：</w:t>
      </w:r>
    </w:p>
    <w:p w14:paraId="617BF72E">
      <w:pPr>
        <w:spacing w:line="560" w:lineRule="exact"/>
        <w:ind w:firstLine="640" w:firstLineChars="200"/>
        <w:rPr>
          <w:rFonts w:ascii="仿宋_GB2312" w:hAnsi="仿宋" w:eastAsia="仿宋_GB2312" w:cs="仿宋"/>
          <w:bCs/>
          <w:sz w:val="32"/>
          <w:szCs w:val="32"/>
          <w:lang w:val="zh-CN"/>
        </w:rPr>
      </w:pPr>
      <w:r>
        <w:rPr>
          <w:rFonts w:hint="eastAsia" w:ascii="仿宋_GB2312" w:hAnsi="仿宋" w:eastAsia="仿宋_GB2312" w:cs="仿宋"/>
          <w:bCs/>
          <w:sz w:val="32"/>
          <w:szCs w:val="32"/>
          <w:lang w:val="zh-CN"/>
        </w:rPr>
        <w:t>1、本合同及附加文本；</w:t>
      </w:r>
    </w:p>
    <w:p w14:paraId="26A05763">
      <w:pPr>
        <w:spacing w:line="560" w:lineRule="exact"/>
        <w:ind w:firstLine="640" w:firstLineChars="200"/>
        <w:rPr>
          <w:rFonts w:ascii="仿宋_GB2312" w:hAnsi="仿宋" w:eastAsia="仿宋_GB2312" w:cs="仿宋"/>
          <w:bCs/>
          <w:sz w:val="32"/>
          <w:szCs w:val="32"/>
          <w:lang w:val="zh-CN"/>
        </w:rPr>
      </w:pPr>
      <w:r>
        <w:rPr>
          <w:rFonts w:hint="eastAsia" w:ascii="仿宋_GB2312" w:hAnsi="仿宋" w:eastAsia="仿宋_GB2312" w:cs="仿宋"/>
          <w:bCs/>
          <w:sz w:val="32"/>
          <w:szCs w:val="32"/>
          <w:lang w:val="zh-CN"/>
        </w:rPr>
        <w:t>2、采购文件、成交供应商的响应文件及澄清（承诺）函；</w:t>
      </w:r>
    </w:p>
    <w:p w14:paraId="0525F787">
      <w:pPr>
        <w:spacing w:line="560" w:lineRule="exact"/>
        <w:ind w:firstLine="640" w:firstLineChars="200"/>
        <w:rPr>
          <w:rFonts w:ascii="仿宋_GB2312" w:hAnsi="仿宋" w:eastAsia="仿宋_GB2312" w:cs="仿宋"/>
          <w:bCs/>
          <w:sz w:val="32"/>
          <w:szCs w:val="32"/>
          <w:lang w:val="zh-CN"/>
        </w:rPr>
      </w:pPr>
      <w:r>
        <w:rPr>
          <w:rFonts w:hint="eastAsia" w:ascii="仿宋_GB2312" w:hAnsi="仿宋" w:eastAsia="仿宋_GB2312" w:cs="仿宋"/>
          <w:bCs/>
          <w:sz w:val="32"/>
          <w:szCs w:val="32"/>
          <w:lang w:val="zh-CN"/>
        </w:rPr>
        <w:t>3、国家相应的标准、规范。</w:t>
      </w:r>
    </w:p>
    <w:p w14:paraId="0C077718">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六、违约责任</w:t>
      </w:r>
    </w:p>
    <w:p w14:paraId="0CA62B58">
      <w:pPr>
        <w:tabs>
          <w:tab w:val="left" w:pos="1125"/>
        </w:tabs>
        <w:spacing w:line="560" w:lineRule="exact"/>
        <w:ind w:left="560"/>
        <w:rPr>
          <w:rFonts w:ascii="仿宋_GB2312" w:hAnsi="仿宋" w:eastAsia="仿宋_GB2312" w:cs="仿宋"/>
          <w:sz w:val="32"/>
          <w:szCs w:val="32"/>
        </w:rPr>
      </w:pPr>
      <w:r>
        <w:rPr>
          <w:rFonts w:hint="eastAsia" w:ascii="仿宋_GB2312" w:hAnsi="仿宋" w:eastAsia="仿宋_GB2312" w:cs="仿宋"/>
          <w:sz w:val="32"/>
          <w:szCs w:val="32"/>
        </w:rPr>
        <w:t>1、按《中华人民共和国民法典》中的相关条款执行。</w:t>
      </w:r>
    </w:p>
    <w:p w14:paraId="40184987">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2、乙方履约延误</w:t>
      </w:r>
    </w:p>
    <w:p w14:paraId="38FEBC0E">
      <w:pPr>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2-1、如乙方事先未征得甲方同意并得到甲方的谅解而单方面延迟提供服务，每逾期1日，按合同总价1%支付违约金；逾期超过15日，甲方有权单方解除合同，乙方支付合同总价20%违约</w:t>
      </w:r>
    </w:p>
    <w:p w14:paraId="6A6E9E38">
      <w:pPr>
        <w:spacing w:line="560" w:lineRule="exact"/>
        <w:ind w:firstLine="0" w:firstLineChars="0"/>
        <w:rPr>
          <w:rFonts w:ascii="仿宋_GB2312" w:hAnsi="仿宋" w:eastAsia="仿宋_GB2312" w:cs="仿宋"/>
          <w:sz w:val="32"/>
          <w:szCs w:val="32"/>
        </w:rPr>
      </w:pPr>
      <w:r>
        <w:rPr>
          <w:rFonts w:hint="eastAsia" w:ascii="仿宋_GB2312" w:hAnsi="仿宋" w:eastAsia="仿宋_GB2312" w:cs="仿宋"/>
          <w:sz w:val="32"/>
          <w:szCs w:val="32"/>
        </w:rPr>
        <w:t>金。</w:t>
      </w:r>
    </w:p>
    <w:p w14:paraId="65A89637">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2-2、乙方必须严格按照服务期要求执行，超期甲方不予支付合同款，同时保留追究相关责任的权利。</w:t>
      </w:r>
    </w:p>
    <w:p w14:paraId="0EE0FDAA">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2-3、违约终止合同：未按合同要求提供服务，甲方会同监督机构有权终止合同，对乙方违约行为进行追究，同时按政府采购法的有关规定进行相应的处罚。</w:t>
      </w:r>
    </w:p>
    <w:p w14:paraId="0B624C74">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3、乙方对自己制作、提供的文字、图片及影音资料的知识产权负责，如发生任何侵犯第三方合法权益的问题，由乙方承担相关责任。</w:t>
      </w:r>
    </w:p>
    <w:p w14:paraId="622EE680">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乙方提供技术服务期间不得泄漏和使用知悉的任何第三方的商业秘密、技术秘密等信息，因使用和泄漏商业秘密、技术秘密等内容导致甲方、甲方产品或甲方客户侵犯第三方权益的，所有责任和赔偿均由乙方承担，甲方在承担责任后也可以全部向乙方追偿。</w:t>
      </w:r>
    </w:p>
    <w:p w14:paraId="2B0A473C">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乙方对在提供技术服务期间了解和接触的甲方的技术方案、产品设计、系统设计、流程、计划、硬件布局、网络设计、操作手册、技术文档等技术方面的秘密和信息以及甲方知识产权相关的秘密内容应完全永久保密，不得自行使用和向第三方透漏。因乙方泄漏甲方上述秘密和信息导致甲方损失的，乙方应承担全部赔偿责任。</w:t>
      </w:r>
    </w:p>
    <w:p w14:paraId="74021048">
      <w:pPr>
        <w:spacing w:line="56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6、乙方在不再为甲方提供技术服务或甲方提出要求时，应将掌握的甲方的资料、信息、文件等全部移交给甲方并不得留存备份。</w:t>
      </w:r>
    </w:p>
    <w:p w14:paraId="00D21658">
      <w:pPr>
        <w:spacing w:line="560" w:lineRule="exact"/>
        <w:ind w:firstLine="640" w:firstLineChars="200"/>
        <w:rPr>
          <w:rFonts w:hint="eastAsia" w:ascii="黑体" w:hAnsi="黑体" w:eastAsia="黑体" w:cs="仿宋"/>
          <w:sz w:val="32"/>
          <w:szCs w:val="32"/>
        </w:rPr>
      </w:pPr>
      <w:r>
        <w:rPr>
          <w:rFonts w:hint="eastAsia" w:ascii="仿宋_GB2312" w:hAnsi="仿宋" w:eastAsia="仿宋_GB2312" w:cs="仿宋"/>
          <w:sz w:val="32"/>
          <w:szCs w:val="32"/>
          <w:lang w:val="en-US" w:eastAsia="zh-CN"/>
        </w:rPr>
        <w:t>7.乙方提供的服务不符合甲方要求的，甲方有权要求乙方限期整改</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如整改后</w:t>
      </w:r>
      <w:r>
        <w:rPr>
          <w:rFonts w:hint="eastAsia" w:ascii="仿宋_GB2312" w:hAnsi="仿宋" w:eastAsia="仿宋_GB2312" w:cs="仿宋"/>
          <w:sz w:val="32"/>
          <w:szCs w:val="32"/>
        </w:rPr>
        <w:t>仍不合格，</w:t>
      </w:r>
      <w:r>
        <w:rPr>
          <w:rFonts w:hint="eastAsia" w:ascii="仿宋_GB2312" w:hAnsi="仿宋" w:eastAsia="仿宋_GB2312" w:cs="仿宋"/>
          <w:sz w:val="32"/>
          <w:szCs w:val="32"/>
          <w:lang w:val="en-US" w:eastAsia="zh-CN"/>
        </w:rPr>
        <w:t>甲方有权</w:t>
      </w:r>
      <w:r>
        <w:rPr>
          <w:rFonts w:hint="eastAsia" w:ascii="仿宋_GB2312" w:hAnsi="仿宋" w:eastAsia="仿宋_GB2312" w:cs="仿宋"/>
          <w:sz w:val="32"/>
          <w:szCs w:val="32"/>
        </w:rPr>
        <w:t>扣除该部分费用并支付合同总价5%违约金；累计3次不合格，甲方有权解除合同，乙方支付合同总价15%违约金。</w:t>
      </w:r>
    </w:p>
    <w:p w14:paraId="449B7783">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七、合同组成</w:t>
      </w:r>
    </w:p>
    <w:p w14:paraId="6776BE58">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1、成交通知书</w:t>
      </w:r>
    </w:p>
    <w:p w14:paraId="75187AA4">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2、合同文件</w:t>
      </w:r>
    </w:p>
    <w:p w14:paraId="72203205">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3、国家相关规范及标准</w:t>
      </w:r>
    </w:p>
    <w:p w14:paraId="40067208">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4、竞争性磋商文件</w:t>
      </w:r>
    </w:p>
    <w:p w14:paraId="0BF223C9">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5、磋商响应文件</w:t>
      </w:r>
    </w:p>
    <w:p w14:paraId="511EB78E">
      <w:pPr>
        <w:widowControl/>
        <w:autoSpaceDE w:val="0"/>
        <w:autoSpaceDN w:val="0"/>
        <w:spacing w:line="560" w:lineRule="exact"/>
        <w:ind w:firstLine="640" w:firstLineChars="200"/>
        <w:textAlignment w:val="bottom"/>
        <w:rPr>
          <w:rFonts w:ascii="黑体" w:hAnsi="黑体" w:eastAsia="黑体" w:cs="仿宋"/>
          <w:kern w:val="0"/>
          <w:sz w:val="32"/>
          <w:szCs w:val="32"/>
        </w:rPr>
      </w:pPr>
      <w:r>
        <w:rPr>
          <w:rFonts w:hint="eastAsia" w:ascii="黑体" w:hAnsi="黑体" w:eastAsia="黑体" w:cs="仿宋"/>
          <w:kern w:val="0"/>
          <w:sz w:val="32"/>
          <w:szCs w:val="32"/>
        </w:rPr>
        <w:t>八、解决争议的方法</w:t>
      </w:r>
    </w:p>
    <w:p w14:paraId="6E02AC59">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凡因本合同引起的或与本合同有关的争议，双方应友好协商解决。协商不成时，双方均同意采用以下第（一）种争议解决方式：</w:t>
      </w:r>
    </w:p>
    <w:p w14:paraId="17C21732">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1、甲、乙双方均同意向（甲方所在地人民法院）提起诉讼。</w:t>
      </w:r>
    </w:p>
    <w:p w14:paraId="031E9014">
      <w:pPr>
        <w:spacing w:line="56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2、甲、乙双方均同意向（西安仲裁委员会）提起仲裁。</w:t>
      </w:r>
    </w:p>
    <w:p w14:paraId="13DD54D0">
      <w:p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九、合同生效及其它</w:t>
      </w:r>
    </w:p>
    <w:p w14:paraId="303F588C">
      <w:pPr>
        <w:widowControl/>
        <w:tabs>
          <w:tab w:val="left" w:pos="8391"/>
        </w:tabs>
        <w:autoSpaceDE w:val="0"/>
        <w:autoSpaceDN w:val="0"/>
        <w:spacing w:line="560" w:lineRule="exact"/>
        <w:ind w:firstLine="640" w:firstLineChars="200"/>
        <w:textAlignment w:val="bottom"/>
        <w:rPr>
          <w:rFonts w:ascii="仿宋_GB2312" w:hAnsi="仿宋" w:eastAsia="仿宋_GB2312" w:cs="仿宋"/>
          <w:kern w:val="0"/>
          <w:sz w:val="32"/>
          <w:szCs w:val="32"/>
        </w:rPr>
      </w:pPr>
      <w:bookmarkStart w:id="0" w:name="_Hlk116984855"/>
      <w:r>
        <w:rPr>
          <w:rFonts w:hint="eastAsia" w:ascii="仿宋_GB2312" w:hAnsi="仿宋" w:eastAsia="仿宋_GB2312" w:cs="仿宋"/>
          <w:kern w:val="0"/>
          <w:sz w:val="32"/>
          <w:szCs w:val="32"/>
        </w:rPr>
        <w:t>1、技术成果归属：在履行本协议过程中，乙方利用甲方提供的技术资料和工作条件完成的新的技术成果属于甲方。</w:t>
      </w:r>
    </w:p>
    <w:p w14:paraId="5514490A">
      <w:pPr>
        <w:widowControl/>
        <w:autoSpaceDE w:val="0"/>
        <w:autoSpaceDN w:val="0"/>
        <w:spacing w:line="560" w:lineRule="exact"/>
        <w:ind w:firstLine="640" w:firstLineChars="200"/>
        <w:textAlignment w:val="bottom"/>
        <w:rPr>
          <w:rFonts w:ascii="仿宋_GB2312" w:hAnsi="仿宋" w:eastAsia="仿宋_GB2312" w:cs="仿宋"/>
          <w:kern w:val="0"/>
          <w:sz w:val="32"/>
          <w:szCs w:val="32"/>
        </w:rPr>
      </w:pPr>
      <w:r>
        <w:rPr>
          <w:rFonts w:hint="eastAsia" w:ascii="仿宋_GB2312" w:hAnsi="仿宋" w:eastAsia="仿宋_GB2312" w:cs="仿宋"/>
          <w:kern w:val="0"/>
          <w:sz w:val="32"/>
          <w:szCs w:val="32"/>
        </w:rPr>
        <w:t>2、合同未尽事宜、由甲、乙双方协商，作为合同补充，与原合同具有同等法律效力。</w:t>
      </w:r>
    </w:p>
    <w:p w14:paraId="43292139">
      <w:pPr>
        <w:widowControl/>
        <w:tabs>
          <w:tab w:val="left" w:pos="8391"/>
        </w:tabs>
        <w:autoSpaceDE w:val="0"/>
        <w:autoSpaceDN w:val="0"/>
        <w:spacing w:line="560" w:lineRule="exact"/>
        <w:ind w:firstLine="640" w:firstLineChars="200"/>
        <w:textAlignment w:val="bottom"/>
        <w:rPr>
          <w:rFonts w:ascii="仿宋_GB2312" w:hAnsi="仿宋" w:eastAsia="仿宋_GB2312" w:cs="仿宋"/>
          <w:kern w:val="0"/>
          <w:sz w:val="32"/>
          <w:szCs w:val="32"/>
        </w:rPr>
      </w:pPr>
      <w:r>
        <w:rPr>
          <w:rFonts w:hint="eastAsia" w:ascii="仿宋_GB2312" w:hAnsi="仿宋" w:eastAsia="仿宋_GB2312" w:cs="仿宋"/>
          <w:kern w:val="0"/>
          <w:sz w:val="32"/>
          <w:szCs w:val="32"/>
        </w:rPr>
        <w:t>3、本合同一式</w:t>
      </w:r>
      <w:r>
        <w:rPr>
          <w:rFonts w:hint="eastAsia" w:ascii="仿宋_GB2312" w:hAnsi="仿宋" w:eastAsia="仿宋_GB2312" w:cs="仿宋"/>
          <w:kern w:val="0"/>
          <w:sz w:val="32"/>
          <w:szCs w:val="32"/>
          <w:u w:val="single"/>
        </w:rPr>
        <w:t xml:space="preserve"> 柒 </w:t>
      </w:r>
      <w:r>
        <w:rPr>
          <w:rFonts w:hint="eastAsia" w:ascii="仿宋_GB2312" w:hAnsi="仿宋" w:eastAsia="仿宋_GB2312" w:cs="仿宋"/>
          <w:kern w:val="0"/>
          <w:sz w:val="32"/>
          <w:szCs w:val="32"/>
        </w:rPr>
        <w:t>份，甲方执</w:t>
      </w:r>
      <w:r>
        <w:rPr>
          <w:rFonts w:hint="eastAsia" w:ascii="仿宋_GB2312" w:hAnsi="仿宋" w:eastAsia="仿宋_GB2312" w:cs="仿宋"/>
          <w:kern w:val="0"/>
          <w:sz w:val="32"/>
          <w:szCs w:val="32"/>
          <w:u w:val="single"/>
        </w:rPr>
        <w:t xml:space="preserve"> 伍 </w:t>
      </w:r>
      <w:r>
        <w:rPr>
          <w:rFonts w:hint="eastAsia" w:ascii="仿宋_GB2312" w:hAnsi="仿宋" w:eastAsia="仿宋_GB2312" w:cs="仿宋"/>
          <w:kern w:val="0"/>
          <w:sz w:val="32"/>
          <w:szCs w:val="32"/>
        </w:rPr>
        <w:t>份，乙方执</w:t>
      </w:r>
      <w:r>
        <w:rPr>
          <w:rFonts w:hint="eastAsia" w:ascii="仿宋_GB2312" w:hAnsi="仿宋" w:eastAsia="仿宋_GB2312" w:cs="仿宋"/>
          <w:kern w:val="0"/>
          <w:sz w:val="32"/>
          <w:szCs w:val="32"/>
          <w:u w:val="single"/>
        </w:rPr>
        <w:t xml:space="preserve"> 贰 </w:t>
      </w:r>
      <w:r>
        <w:rPr>
          <w:rFonts w:hint="eastAsia" w:ascii="仿宋_GB2312" w:hAnsi="仿宋" w:eastAsia="仿宋_GB2312" w:cs="仿宋"/>
          <w:kern w:val="0"/>
          <w:sz w:val="32"/>
          <w:szCs w:val="32"/>
        </w:rPr>
        <w:t>份。</w:t>
      </w:r>
    </w:p>
    <w:p w14:paraId="207B41BC">
      <w:pPr>
        <w:widowControl/>
        <w:tabs>
          <w:tab w:val="left" w:pos="8391"/>
        </w:tabs>
        <w:autoSpaceDE w:val="0"/>
        <w:autoSpaceDN w:val="0"/>
        <w:spacing w:line="560" w:lineRule="exact"/>
        <w:ind w:firstLine="640" w:firstLineChars="200"/>
        <w:textAlignment w:val="bottom"/>
        <w:rPr>
          <w:rFonts w:ascii="仿宋_GB2312" w:hAnsi="仿宋" w:eastAsia="仿宋_GB2312" w:cs="仿宋"/>
          <w:kern w:val="0"/>
          <w:sz w:val="32"/>
          <w:szCs w:val="32"/>
        </w:rPr>
      </w:pPr>
      <w:r>
        <w:rPr>
          <w:rFonts w:hint="eastAsia" w:ascii="仿宋_GB2312" w:hAnsi="仿宋" w:eastAsia="仿宋_GB2312" w:cs="仿宋"/>
          <w:kern w:val="0"/>
          <w:sz w:val="32"/>
          <w:szCs w:val="32"/>
        </w:rPr>
        <w:t>4、合同经甲乙双方盖章、签字后生效，合同签订地点为</w:t>
      </w:r>
      <w:r>
        <w:rPr>
          <w:rFonts w:hint="eastAsia" w:ascii="仿宋_GB2312" w:hAnsi="仿宋" w:eastAsia="仿宋_GB2312" w:cs="仿宋"/>
          <w:kern w:val="0"/>
          <w:sz w:val="32"/>
          <w:szCs w:val="32"/>
          <w:u w:val="single"/>
        </w:rPr>
        <w:t xml:space="preserve"> 西安高新区教育体育局 </w:t>
      </w:r>
      <w:r>
        <w:rPr>
          <w:rFonts w:hint="eastAsia" w:ascii="仿宋_GB2312" w:hAnsi="仿宋" w:eastAsia="仿宋_GB2312" w:cs="仿宋"/>
          <w:kern w:val="0"/>
          <w:sz w:val="32"/>
          <w:szCs w:val="32"/>
        </w:rPr>
        <w:t>。</w:t>
      </w:r>
    </w:p>
    <w:bookmarkEnd w:id="0"/>
    <w:p w14:paraId="0186343B">
      <w:pPr>
        <w:widowControl/>
        <w:tabs>
          <w:tab w:val="left" w:pos="8391"/>
        </w:tabs>
        <w:autoSpaceDE w:val="0"/>
        <w:autoSpaceDN w:val="0"/>
        <w:spacing w:line="560" w:lineRule="exact"/>
        <w:ind w:firstLine="640" w:firstLineChars="200"/>
        <w:textAlignment w:val="bottom"/>
        <w:rPr>
          <w:rFonts w:ascii="仿宋_GB2312" w:hAnsi="仿宋" w:eastAsia="仿宋_GB2312" w:cs="仿宋"/>
          <w:kern w:val="0"/>
          <w:sz w:val="32"/>
          <w:szCs w:val="32"/>
        </w:rPr>
        <w:sectPr>
          <w:footerReference r:id="rId3" w:type="default"/>
          <w:pgSz w:w="11906" w:h="16838"/>
          <w:pgMar w:top="1417" w:right="1417" w:bottom="1417" w:left="1417" w:header="851" w:footer="992" w:gutter="0"/>
          <w:pgNumType w:start="1"/>
          <w:cols w:space="0" w:num="1"/>
          <w:docGrid w:type="lines" w:linePitch="312" w:charSpace="0"/>
        </w:sectPr>
      </w:pPr>
      <w:r>
        <w:rPr>
          <w:rFonts w:hint="eastAsia" w:ascii="仿宋_GB2312" w:hAnsi="仿宋" w:eastAsia="仿宋_GB2312" w:cs="仿宋"/>
          <w:kern w:val="0"/>
          <w:sz w:val="32"/>
          <w:szCs w:val="32"/>
        </w:rPr>
        <w:t>签署日期：</w:t>
      </w:r>
      <w:r>
        <w:rPr>
          <w:rFonts w:hint="eastAsia" w:ascii="仿宋_GB2312" w:hAnsi="仿宋" w:eastAsia="仿宋_GB2312" w:cs="仿宋"/>
          <w:kern w:val="0"/>
          <w:sz w:val="32"/>
          <w:szCs w:val="32"/>
          <w:u w:val="single"/>
        </w:rPr>
        <w:t xml:space="preserve">    </w:t>
      </w:r>
      <w:r>
        <w:rPr>
          <w:rFonts w:hint="eastAsia" w:ascii="仿宋_GB2312" w:hAnsi="仿宋" w:eastAsia="仿宋_GB2312" w:cs="仿宋"/>
          <w:kern w:val="0"/>
          <w:sz w:val="32"/>
          <w:szCs w:val="32"/>
        </w:rPr>
        <w:t>年</w:t>
      </w:r>
      <w:r>
        <w:rPr>
          <w:rFonts w:hint="eastAsia" w:ascii="仿宋_GB2312" w:hAnsi="仿宋" w:eastAsia="仿宋_GB2312" w:cs="仿宋"/>
          <w:kern w:val="0"/>
          <w:sz w:val="32"/>
          <w:szCs w:val="32"/>
          <w:u w:val="single"/>
        </w:rPr>
        <w:t xml:space="preserve">  </w:t>
      </w:r>
      <w:r>
        <w:rPr>
          <w:rFonts w:hint="eastAsia" w:ascii="仿宋_GB2312" w:hAnsi="仿宋" w:eastAsia="仿宋_GB2312" w:cs="仿宋"/>
          <w:kern w:val="0"/>
          <w:sz w:val="32"/>
          <w:szCs w:val="32"/>
        </w:rPr>
        <w:t>月</w:t>
      </w:r>
      <w:r>
        <w:rPr>
          <w:rFonts w:hint="eastAsia" w:ascii="仿宋_GB2312" w:hAnsi="仿宋" w:eastAsia="仿宋_GB2312" w:cs="仿宋"/>
          <w:kern w:val="0"/>
          <w:sz w:val="32"/>
          <w:szCs w:val="32"/>
          <w:u w:val="single"/>
        </w:rPr>
        <w:t xml:space="preserve">  </w:t>
      </w:r>
      <w:r>
        <w:rPr>
          <w:rFonts w:hint="eastAsia" w:ascii="仿宋_GB2312" w:hAnsi="仿宋" w:eastAsia="仿宋_GB2312" w:cs="仿宋"/>
          <w:kern w:val="0"/>
          <w:sz w:val="32"/>
          <w:szCs w:val="32"/>
        </w:rPr>
        <w:t>日</w:t>
      </w:r>
    </w:p>
    <w:p w14:paraId="23A2D2BF">
      <w:pPr>
        <w:pStyle w:val="2"/>
        <w:pBdr>
          <w:top w:val="none" w:color="auto" w:sz="0" w:space="1"/>
          <w:left w:val="none" w:color="auto" w:sz="0" w:space="1"/>
          <w:bottom w:val="none" w:color="auto" w:sz="0" w:space="1"/>
          <w:right w:val="none" w:color="auto" w:sz="0" w:space="1"/>
        </w:pBdr>
        <w:shd w:val="clear" w:color="auto" w:fill="auto"/>
        <w:spacing w:line="560" w:lineRule="exact"/>
        <w:ind w:left="0" w:leftChars="0" w:firstLine="0" w:firstLineChars="0"/>
        <w:rPr>
          <w:rFonts w:ascii="仿宋_GB2312" w:eastAsia="仿宋_GB2312"/>
          <w:sz w:val="32"/>
          <w:szCs w:val="32"/>
        </w:rPr>
      </w:pPr>
      <w:r>
        <w:rPr>
          <w:rFonts w:hint="eastAsia" w:ascii="仿宋_GB2312" w:hAnsi="仿宋" w:eastAsia="仿宋_GB2312" w:cs="仿宋"/>
          <w:sz w:val="32"/>
          <w:szCs w:val="32"/>
        </w:rPr>
        <w:t>（本页无正文）</w:t>
      </w:r>
    </w:p>
    <w:tbl>
      <w:tblPr>
        <w:tblStyle w:val="8"/>
        <w:tblW w:w="0" w:type="auto"/>
        <w:jc w:val="center"/>
        <w:tblLayout w:type="fixed"/>
        <w:tblCellMar>
          <w:top w:w="0" w:type="dxa"/>
          <w:left w:w="108" w:type="dxa"/>
          <w:bottom w:w="0" w:type="dxa"/>
          <w:right w:w="108" w:type="dxa"/>
        </w:tblCellMar>
      </w:tblPr>
      <w:tblGrid>
        <w:gridCol w:w="4643"/>
        <w:gridCol w:w="4643"/>
      </w:tblGrid>
      <w:tr w14:paraId="4DA29CE0">
        <w:tblPrEx>
          <w:tblCellMar>
            <w:top w:w="0" w:type="dxa"/>
            <w:left w:w="108" w:type="dxa"/>
            <w:bottom w:w="0" w:type="dxa"/>
            <w:right w:w="108" w:type="dxa"/>
          </w:tblCellMar>
        </w:tblPrEx>
        <w:trPr>
          <w:trHeight w:val="6131" w:hRule="atLeast"/>
          <w:jc w:val="center"/>
        </w:trPr>
        <w:tc>
          <w:tcPr>
            <w:tcW w:w="4643" w:type="dxa"/>
          </w:tcPr>
          <w:p w14:paraId="5D3F0231">
            <w:pPr>
              <w:widowControl/>
              <w:autoSpaceDE w:val="0"/>
              <w:autoSpaceDN w:val="0"/>
              <w:spacing w:line="560" w:lineRule="exact"/>
              <w:textAlignment w:val="bottom"/>
              <w:rPr>
                <w:rFonts w:ascii="仿宋_GB2312" w:hAnsi="仿宋" w:eastAsia="仿宋_GB2312" w:cs="仿宋"/>
                <w:kern w:val="0"/>
                <w:sz w:val="32"/>
                <w:szCs w:val="32"/>
              </w:rPr>
            </w:pPr>
            <w:r>
              <w:rPr>
                <w:rFonts w:hint="eastAsia" w:ascii="仿宋_GB2312" w:hAnsi="仿宋" w:eastAsia="仿宋_GB2312" w:cs="仿宋"/>
                <w:kern w:val="0"/>
                <w:sz w:val="32"/>
                <w:szCs w:val="32"/>
              </w:rPr>
              <w:t>甲方名称：西安高新技术产业开发区教育体育局（盖章）</w:t>
            </w:r>
          </w:p>
          <w:p w14:paraId="53B2D2D7">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地址：</w:t>
            </w:r>
            <w:r>
              <w:rPr>
                <w:rFonts w:hint="eastAsia" w:ascii="仿宋_GB2312" w:hAnsi="仿宋" w:eastAsia="仿宋_GB2312" w:cs="仿宋"/>
                <w:kern w:val="0"/>
                <w:sz w:val="32"/>
                <w:szCs w:val="32"/>
                <w:u w:val="single"/>
              </w:rPr>
              <w:t>西安高新区锦业路1号都市之门</w:t>
            </w:r>
          </w:p>
          <w:p w14:paraId="7A3F7A7F">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代表人（签字）：</w:t>
            </w:r>
            <w:r>
              <w:rPr>
                <w:rFonts w:hint="eastAsia" w:ascii="仿宋_GB2312" w:hAnsi="仿宋" w:eastAsia="仿宋_GB2312" w:cs="仿宋"/>
                <w:kern w:val="0"/>
                <w:sz w:val="32"/>
                <w:szCs w:val="32"/>
                <w:u w:val="single"/>
              </w:rPr>
              <w:t xml:space="preserve">               </w:t>
            </w:r>
          </w:p>
          <w:p w14:paraId="350F1A16">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电话：</w:t>
            </w:r>
            <w:r>
              <w:rPr>
                <w:rFonts w:hint="eastAsia" w:ascii="仿宋_GB2312" w:hAnsi="仿宋" w:eastAsia="仿宋_GB2312" w:cs="仿宋"/>
                <w:kern w:val="0"/>
                <w:sz w:val="32"/>
                <w:szCs w:val="32"/>
                <w:u w:val="single"/>
              </w:rPr>
              <w:t xml:space="preserve">  029-81150128           </w:t>
            </w:r>
          </w:p>
          <w:p w14:paraId="385752E4">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开户银行：</w:t>
            </w:r>
            <w:r>
              <w:rPr>
                <w:rFonts w:hint="eastAsia" w:ascii="仿宋_GB2312" w:hAnsi="仿宋" w:eastAsia="仿宋_GB2312" w:cs="仿宋"/>
                <w:kern w:val="0"/>
                <w:sz w:val="32"/>
                <w:szCs w:val="32"/>
                <w:u w:val="single"/>
              </w:rPr>
              <w:t xml:space="preserve">                     </w:t>
            </w:r>
          </w:p>
          <w:p w14:paraId="16670144">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帐号：</w:t>
            </w:r>
            <w:r>
              <w:rPr>
                <w:rFonts w:hint="eastAsia" w:ascii="仿宋_GB2312" w:hAnsi="仿宋" w:eastAsia="仿宋_GB2312" w:cs="仿宋"/>
                <w:kern w:val="0"/>
                <w:sz w:val="32"/>
                <w:szCs w:val="32"/>
                <w:u w:val="single"/>
              </w:rPr>
              <w:t xml:space="preserve">                         </w:t>
            </w:r>
          </w:p>
          <w:p w14:paraId="64DD76A8">
            <w:pPr>
              <w:widowControl/>
              <w:autoSpaceDE w:val="0"/>
              <w:autoSpaceDN w:val="0"/>
              <w:spacing w:line="560" w:lineRule="exact"/>
              <w:ind w:firstLine="640" w:firstLineChars="200"/>
              <w:textAlignment w:val="bottom"/>
              <w:rPr>
                <w:rFonts w:ascii="仿宋_GB2312" w:hAnsi="仿宋" w:eastAsia="仿宋_GB2312" w:cs="仿宋"/>
                <w:kern w:val="0"/>
                <w:sz w:val="32"/>
                <w:szCs w:val="32"/>
                <w:u w:val="single"/>
              </w:rPr>
            </w:pPr>
          </w:p>
          <w:p w14:paraId="3A1E4647">
            <w:pPr>
              <w:widowControl/>
              <w:autoSpaceDE w:val="0"/>
              <w:autoSpaceDN w:val="0"/>
              <w:spacing w:line="560" w:lineRule="exact"/>
              <w:ind w:firstLine="640" w:firstLineChars="200"/>
              <w:textAlignment w:val="bottom"/>
              <w:rPr>
                <w:rFonts w:ascii="仿宋_GB2312" w:hAnsi="仿宋" w:eastAsia="仿宋_GB2312" w:cs="仿宋"/>
                <w:kern w:val="0"/>
                <w:sz w:val="32"/>
                <w:szCs w:val="32"/>
                <w:u w:val="single"/>
              </w:rPr>
            </w:pPr>
          </w:p>
          <w:p w14:paraId="68F1EC14">
            <w:pPr>
              <w:widowControl/>
              <w:autoSpaceDE w:val="0"/>
              <w:autoSpaceDN w:val="0"/>
              <w:spacing w:line="560" w:lineRule="exact"/>
              <w:ind w:firstLine="640" w:firstLineChars="200"/>
              <w:textAlignment w:val="bottom"/>
              <w:rPr>
                <w:rFonts w:ascii="仿宋_GB2312" w:hAnsi="仿宋" w:eastAsia="仿宋_GB2312" w:cs="仿宋"/>
                <w:kern w:val="0"/>
                <w:sz w:val="32"/>
                <w:szCs w:val="32"/>
                <w:u w:val="single"/>
              </w:rPr>
            </w:pPr>
          </w:p>
        </w:tc>
        <w:tc>
          <w:tcPr>
            <w:tcW w:w="4643" w:type="dxa"/>
          </w:tcPr>
          <w:p w14:paraId="10A342F8">
            <w:pPr>
              <w:widowControl/>
              <w:autoSpaceDE w:val="0"/>
              <w:autoSpaceDN w:val="0"/>
              <w:spacing w:line="560" w:lineRule="exact"/>
              <w:textAlignment w:val="bottom"/>
              <w:rPr>
                <w:rFonts w:ascii="仿宋_GB2312" w:hAnsi="仿宋" w:eastAsia="仿宋_GB2312" w:cs="仿宋"/>
                <w:kern w:val="0"/>
                <w:sz w:val="32"/>
                <w:szCs w:val="32"/>
              </w:rPr>
            </w:pPr>
            <w:r>
              <w:rPr>
                <w:rFonts w:hint="eastAsia" w:ascii="仿宋_GB2312" w:hAnsi="仿宋" w:eastAsia="仿宋_GB2312" w:cs="仿宋"/>
                <w:kern w:val="0"/>
                <w:sz w:val="32"/>
                <w:szCs w:val="32"/>
              </w:rPr>
              <w:t>乙方名称：</w:t>
            </w:r>
            <w:r>
              <w:rPr>
                <w:rFonts w:hint="eastAsia" w:ascii="仿宋_GB2312" w:hAnsi="仿宋" w:eastAsia="仿宋_GB2312" w:cs="仿宋"/>
                <w:spacing w:val="-20"/>
                <w:kern w:val="0"/>
                <w:sz w:val="32"/>
                <w:szCs w:val="32"/>
              </w:rPr>
              <w:t>（盖章）</w:t>
            </w:r>
          </w:p>
          <w:p w14:paraId="63F79A52">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地址：</w:t>
            </w:r>
          </w:p>
          <w:p w14:paraId="501434BC">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代表人（签字）：</w:t>
            </w:r>
            <w:r>
              <w:rPr>
                <w:rFonts w:hint="eastAsia" w:ascii="仿宋_GB2312" w:hAnsi="仿宋" w:eastAsia="仿宋_GB2312" w:cs="仿宋"/>
                <w:kern w:val="0"/>
                <w:sz w:val="32"/>
                <w:szCs w:val="32"/>
                <w:u w:val="single"/>
              </w:rPr>
              <w:t xml:space="preserve">               </w:t>
            </w:r>
          </w:p>
          <w:p w14:paraId="11459DBC">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电话：</w:t>
            </w:r>
            <w:r>
              <w:rPr>
                <w:rFonts w:hint="eastAsia" w:ascii="仿宋_GB2312" w:hAnsi="仿宋" w:eastAsia="仿宋_GB2312" w:cs="仿宋"/>
                <w:kern w:val="0"/>
                <w:sz w:val="32"/>
                <w:szCs w:val="32"/>
                <w:u w:val="single"/>
              </w:rPr>
              <w:t xml:space="preserve">          </w:t>
            </w:r>
          </w:p>
          <w:p w14:paraId="26E7480A">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开户银行：</w:t>
            </w:r>
            <w:r>
              <w:rPr>
                <w:rFonts w:hint="eastAsia" w:ascii="仿宋_GB2312" w:hAnsi="仿宋" w:eastAsia="仿宋_GB2312" w:cs="仿宋"/>
                <w:kern w:val="0"/>
                <w:sz w:val="32"/>
                <w:szCs w:val="32"/>
                <w:u w:val="single"/>
              </w:rPr>
              <w:t xml:space="preserve">                </w:t>
            </w:r>
          </w:p>
          <w:p w14:paraId="582C0377">
            <w:pPr>
              <w:widowControl/>
              <w:autoSpaceDE w:val="0"/>
              <w:autoSpaceDN w:val="0"/>
              <w:spacing w:line="560" w:lineRule="exact"/>
              <w:textAlignment w:val="bottom"/>
              <w:rPr>
                <w:rFonts w:ascii="仿宋_GB2312" w:hAnsi="仿宋" w:eastAsia="仿宋_GB2312" w:cs="仿宋"/>
                <w:kern w:val="0"/>
                <w:sz w:val="32"/>
                <w:szCs w:val="32"/>
                <w:u w:val="single"/>
              </w:rPr>
            </w:pPr>
            <w:r>
              <w:rPr>
                <w:rFonts w:hint="eastAsia" w:ascii="仿宋_GB2312" w:hAnsi="仿宋" w:eastAsia="仿宋_GB2312" w:cs="仿宋"/>
                <w:kern w:val="0"/>
                <w:sz w:val="32"/>
                <w:szCs w:val="32"/>
              </w:rPr>
              <w:t>帐号：</w:t>
            </w:r>
            <w:r>
              <w:rPr>
                <w:rFonts w:hint="eastAsia" w:ascii="仿宋_GB2312" w:hAnsi="仿宋" w:eastAsia="仿宋_GB2312" w:cs="仿宋"/>
                <w:kern w:val="0"/>
                <w:sz w:val="32"/>
                <w:szCs w:val="32"/>
                <w:u w:val="single"/>
              </w:rPr>
              <w:t xml:space="preserve">                   </w:t>
            </w:r>
          </w:p>
        </w:tc>
      </w:tr>
    </w:tbl>
    <w:p w14:paraId="600E3803">
      <w:pPr>
        <w:spacing w:line="560" w:lineRule="exact"/>
        <w:ind w:firstLine="420" w:firstLineChars="200"/>
        <w:rPr>
          <w:rFonts w:ascii="仿宋" w:hAnsi="仿宋" w:eastAsia="仿宋" w:cs="仿宋"/>
        </w:rPr>
      </w:pPr>
    </w:p>
    <w:sectPr>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6646DA-9145-491D-8167-BD26FCD154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5D78885-90A3-436B-8A7F-F44CACAA543D}"/>
  </w:font>
  <w:font w:name="方正小标宋简体">
    <w:panose1 w:val="02000000000000000000"/>
    <w:charset w:val="86"/>
    <w:family w:val="auto"/>
    <w:pitch w:val="default"/>
    <w:sig w:usb0="00000001" w:usb1="08000000" w:usb2="00000000" w:usb3="00000000" w:csb0="00040000" w:csb1="00000000"/>
    <w:embedRegular r:id="rId3" w:fontKey="{81171634-0480-4469-9BB1-2FD7A0EAC63D}"/>
  </w:font>
  <w:font w:name="仿宋">
    <w:panose1 w:val="02010609060101010101"/>
    <w:charset w:val="86"/>
    <w:family w:val="auto"/>
    <w:pitch w:val="default"/>
    <w:sig w:usb0="800002BF" w:usb1="38CF7CFA" w:usb2="00000016" w:usb3="00000000" w:csb0="00040001" w:csb1="00000000"/>
    <w:embedRegular r:id="rId4" w:fontKey="{98B42029-945B-46AE-939B-EB3C6321645C}"/>
  </w:font>
  <w:font w:name="仿宋_GB2312">
    <w:altName w:val="仿宋"/>
    <w:panose1 w:val="02010609030101010101"/>
    <w:charset w:val="86"/>
    <w:family w:val="modern"/>
    <w:pitch w:val="default"/>
    <w:sig w:usb0="00000000" w:usb1="00000000" w:usb2="00000010" w:usb3="00000000" w:csb0="00040000" w:csb1="00000000"/>
    <w:embedRegular r:id="rId5" w:fontKey="{07D41E05-88C9-4B7A-8CA0-513E46733807}"/>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BDEB6">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5638A">
                          <w:pPr>
                            <w:pStyle w:val="6"/>
                          </w:pPr>
                          <w:r>
                            <w:fldChar w:fldCharType="begin"/>
                          </w:r>
                          <w:r>
                            <w:instrText xml:space="preserve"> PAGE  \* MERGEFORMAT </w:instrText>
                          </w:r>
                          <w:r>
                            <w:fldChar w:fldCharType="separate"/>
                          </w:r>
                          <w:r>
                            <w:t>3</w:t>
                          </w:r>
                          <w:r>
                            <w:fldChar w:fldCharType="end"/>
                          </w:r>
                          <w:r>
                            <w:t xml:space="preserve"> /</w:t>
                          </w:r>
                          <w:r>
                            <w:rPr>
                              <w:rFonts w:hint="eastAsia"/>
                            </w:rPr>
                            <w:t>8</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4A5638A">
                    <w:pPr>
                      <w:pStyle w:val="6"/>
                    </w:pPr>
                    <w:r>
                      <w:fldChar w:fldCharType="begin"/>
                    </w:r>
                    <w:r>
                      <w:instrText xml:space="preserve"> PAGE  \* MERGEFORMAT </w:instrText>
                    </w:r>
                    <w:r>
                      <w:fldChar w:fldCharType="separate"/>
                    </w:r>
                    <w:r>
                      <w:t>3</w:t>
                    </w:r>
                    <w:r>
                      <w:fldChar w:fldCharType="end"/>
                    </w:r>
                    <w:r>
                      <w:t xml:space="preserve"> /</w:t>
                    </w:r>
                    <w:r>
                      <w:rPr>
                        <w:rFonts w:hint="eastAsia"/>
                      </w:rPr>
                      <w:t>8</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kNGNkNTI0YjM1Zjk5NDJkYmM5NmY4ODA1ODg5MDIifQ=="/>
  </w:docVars>
  <w:rsids>
    <w:rsidRoot w:val="00214C9E"/>
    <w:rsid w:val="001372FA"/>
    <w:rsid w:val="00214C9E"/>
    <w:rsid w:val="00224884"/>
    <w:rsid w:val="00385CEF"/>
    <w:rsid w:val="00386D30"/>
    <w:rsid w:val="003E30EE"/>
    <w:rsid w:val="003F39E2"/>
    <w:rsid w:val="00417B14"/>
    <w:rsid w:val="004A35DF"/>
    <w:rsid w:val="00523371"/>
    <w:rsid w:val="00573F88"/>
    <w:rsid w:val="0059174B"/>
    <w:rsid w:val="005A676B"/>
    <w:rsid w:val="005A75C1"/>
    <w:rsid w:val="00675AC0"/>
    <w:rsid w:val="006A4DC9"/>
    <w:rsid w:val="00821871"/>
    <w:rsid w:val="008266D9"/>
    <w:rsid w:val="008B7795"/>
    <w:rsid w:val="008C4F83"/>
    <w:rsid w:val="008E5834"/>
    <w:rsid w:val="00B25D11"/>
    <w:rsid w:val="00CD5CA7"/>
    <w:rsid w:val="00D156C4"/>
    <w:rsid w:val="00D455FA"/>
    <w:rsid w:val="00DA2192"/>
    <w:rsid w:val="00DF2586"/>
    <w:rsid w:val="00E80207"/>
    <w:rsid w:val="00F4118C"/>
    <w:rsid w:val="00F83E81"/>
    <w:rsid w:val="00F963A9"/>
    <w:rsid w:val="00FB7012"/>
    <w:rsid w:val="04893C18"/>
    <w:rsid w:val="05AF06FF"/>
    <w:rsid w:val="07931662"/>
    <w:rsid w:val="087D036B"/>
    <w:rsid w:val="1013176C"/>
    <w:rsid w:val="17881D54"/>
    <w:rsid w:val="20B330C1"/>
    <w:rsid w:val="241F2933"/>
    <w:rsid w:val="274C4F55"/>
    <w:rsid w:val="39D46775"/>
    <w:rsid w:val="41A83D87"/>
    <w:rsid w:val="48305016"/>
    <w:rsid w:val="4DE81AA4"/>
    <w:rsid w:val="4E263853"/>
    <w:rsid w:val="568B1543"/>
    <w:rsid w:val="5B824C26"/>
    <w:rsid w:val="5B8572AA"/>
    <w:rsid w:val="5C566EE1"/>
    <w:rsid w:val="5DBA3B4D"/>
    <w:rsid w:val="6ADE6DCE"/>
    <w:rsid w:val="70917162"/>
    <w:rsid w:val="72F938C5"/>
    <w:rsid w:val="7659702A"/>
    <w:rsid w:val="77ED5975"/>
    <w:rsid w:val="7B6F53CF"/>
    <w:rsid w:val="7F160CF6"/>
    <w:rsid w:val="AD6DF975"/>
    <w:rsid w:val="BAD7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Message Header1"/>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3">
    <w:name w:val="annotation text"/>
    <w:basedOn w:val="1"/>
    <w:semiHidden/>
    <w:unhideWhenUsed/>
    <w:uiPriority w:val="0"/>
    <w:pPr>
      <w:jc w:val="left"/>
    </w:pPr>
  </w:style>
  <w:style w:type="paragraph" w:styleId="4">
    <w:name w:val="Body Text"/>
    <w:basedOn w:val="1"/>
    <w:next w:val="1"/>
    <w:qFormat/>
    <w:uiPriority w:val="99"/>
    <w:rPr>
      <w:b/>
      <w:sz w:val="28"/>
    </w:rPr>
  </w:style>
  <w:style w:type="paragraph" w:styleId="5">
    <w:name w:val="Balloon Text"/>
    <w:basedOn w:val="1"/>
    <w:link w:val="12"/>
    <w:qFormat/>
    <w:uiPriority w:val="0"/>
    <w:rPr>
      <w:sz w:val="18"/>
      <w:szCs w:val="18"/>
    </w:rPr>
  </w:style>
  <w:style w:type="paragraph" w:styleId="6">
    <w:name w:val="footer"/>
    <w:basedOn w:val="1"/>
    <w:next w:val="1"/>
    <w:link w:val="14"/>
    <w:qFormat/>
    <w:uiPriority w:val="99"/>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Strong"/>
    <w:basedOn w:val="9"/>
    <w:qFormat/>
    <w:uiPriority w:val="0"/>
    <w:rPr>
      <w:b/>
    </w:rPr>
  </w:style>
  <w:style w:type="character" w:customStyle="1" w:styleId="11">
    <w:name w:val="页眉 Char"/>
    <w:basedOn w:val="9"/>
    <w:link w:val="7"/>
    <w:qFormat/>
    <w:uiPriority w:val="0"/>
    <w:rPr>
      <w:rFonts w:ascii="Calibri" w:hAnsi="Calibri" w:eastAsia="宋体" w:cs="Times New Roman"/>
      <w:kern w:val="2"/>
      <w:sz w:val="18"/>
      <w:szCs w:val="18"/>
    </w:rPr>
  </w:style>
  <w:style w:type="character" w:customStyle="1" w:styleId="12">
    <w:name w:val="批注框文本 Char"/>
    <w:basedOn w:val="9"/>
    <w:link w:val="5"/>
    <w:qFormat/>
    <w:uiPriority w:val="0"/>
    <w:rPr>
      <w:rFonts w:ascii="Calibri" w:hAnsi="Calibri" w:eastAsia="宋体" w:cs="Times New Roman"/>
      <w:kern w:val="2"/>
      <w:sz w:val="18"/>
      <w:szCs w:val="18"/>
    </w:rPr>
  </w:style>
  <w:style w:type="paragraph" w:customStyle="1" w:styleId="13">
    <w:name w:val="修订1"/>
    <w:hidden/>
    <w:unhideWhenUsed/>
    <w:qFormat/>
    <w:uiPriority w:val="99"/>
    <w:rPr>
      <w:rFonts w:ascii="Calibri" w:hAnsi="Calibri" w:eastAsia="宋体" w:cs="Times New Roman"/>
      <w:kern w:val="2"/>
      <w:sz w:val="21"/>
      <w:lang w:val="en-US" w:eastAsia="zh-CN" w:bidi="ar-SA"/>
    </w:rPr>
  </w:style>
  <w:style w:type="character" w:customStyle="1" w:styleId="14">
    <w:name w:val="页脚 Char"/>
    <w:basedOn w:val="9"/>
    <w:link w:val="6"/>
    <w:qFormat/>
    <w:uiPriority w:val="99"/>
    <w:rPr>
      <w:rFonts w:ascii="Calibri" w:hAnsi="Calibri" w:eastAsia="宋体" w:cs="Times New Roman"/>
      <w:kern w:val="2"/>
      <w:sz w:val="18"/>
      <w:szCs w:val="18"/>
    </w:rPr>
  </w:style>
  <w:style w:type="paragraph" w:customStyle="1" w:styleId="15">
    <w:name w:val="Table Text"/>
    <w:basedOn w:val="1"/>
    <w:semiHidden/>
    <w:qFormat/>
    <w:uiPriority w:val="0"/>
    <w:rPr>
      <w:rFonts w:ascii="宋体" w:hAnsi="宋体" w:eastAsia="宋体" w:cs="宋体"/>
      <w:sz w:val="19"/>
      <w:szCs w:val="19"/>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AFE8D6-FB26-4F2C-BC28-F6074B7650B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2392</Words>
  <Characters>2428</Characters>
  <Lines>18</Lines>
  <Paragraphs>5</Paragraphs>
  <TotalTime>3</TotalTime>
  <ScaleCrop>false</ScaleCrop>
  <LinksUpToDate>false</LinksUpToDate>
  <CharactersWithSpaces>2596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2026-05-15T22:30:00Z</dcterms:created>
  <dc:creator>打印部-1</dc:creator>
  <cp:lastModifiedBy>FORGOTTENREALMS</cp:lastModifiedBy>
  <cp:lastPrinted>2022-11-03T00:52:00Z</cp:lastPrinted>
  <dcterms:modified xsi:type="dcterms:W3CDTF">2026-05-20T01:59:52Z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52A94A3A08C242B79D8191DA2DA55F3F_13</vt:lpwstr>
  </property>
  <property fmtid="{D5CDD505-2E9C-101B-9397-08002B2CF9AE}" pid="4" name="KSOTemplateDocerSaveRecord">
    <vt:lpwstr>eyJoZGlkIjoiYjVhNmZiOWExMDNkZmJhOTEwYzMxOWUzNGJjNjdhYzgiLCJ1c2VySWQiOiI0MDc5MDU5NDMifQ==</vt:lpwstr>
  </property>
</Properties>
</file>