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版本号：ZX2026-06-110.1B220260827002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计算机国产化根技术融合创新实验室基础软件建设项目(三次)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ZX2026-06-110.1B2</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计算机国产化根技术融合创新实验室基础软件建设项目(三次)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ZX2026-06-110.1B2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计算机国产化根技术融合创新实验室基础软件建设项目(三次)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计算机国产化根技术融合创新实验室基础软件建设项目，1项，具体内容详见采购文件第3章。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委托书：法定代表人参加谈判的，须提供法定代表人身份证；法定代表人授权本单位他人参加谈判的，须提供法定代表人授权委托书及被授权人身份证明及被授权人谈判截止前六个月内任意一个月（不含谈判当月）在本公司缴纳的社保证明。</w:t>
      </w:r>
    </w:p>
    <w:p>
      <w:pPr>
        <w:pStyle w:val="null3"/>
      </w:pPr>
      <w:r>
        <w:rPr>
          <w:rFonts w:ascii="仿宋_GB2312" w:hAnsi="仿宋_GB2312" w:cs="仿宋_GB2312" w:eastAsia="仿宋_GB2312"/>
        </w:rPr>
        <w:t>2、本项目不接受联合体谈判，不允许分包：本项目不接受联合体谈判，不允许分包。供应商应提供《非联合体不分包投标声明》。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李雨 曹婷 马演 王宇轩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采购包1保证金金额：10,611.00元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说明：要求提供，本项目履约保证金为合同金额的5%，项目验收合格后及时退还。交纳形式为银行转账等非现金形式。</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金额50万元以内的参照国家计委计价格[2002]1980号通知规定按标准收取；成交金额50万元及以上的参照国家计委计价格[2002]1980号通知规定按标准下浮20%收取，由成交供应商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西安邮电大学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陕西正信招标有限公司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按照谈判文件、响应文件及合同要求执行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按照谈判文件、响应文件及合同要求执行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联系人：曹婷、梁文龙</w:t>
      </w:r>
    </w:p>
    <w:p>
      <w:pPr>
        <w:pStyle w:val="null3"/>
      </w:pPr>
      <w:r>
        <w:rPr>
          <w:rFonts w:ascii="仿宋_GB2312" w:hAnsi="仿宋_GB2312" w:cs="仿宋_GB2312" w:eastAsia="仿宋_GB2312"/>
        </w:rPr>
        <w:t>联系电话：029-88110800转8028</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计算机国产化根技术融合创新实验室基础软件建设项目，1项，具体内容详见采购文件第3章。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960,000.00</w:t>
      </w:r>
    </w:p>
    <w:p>
      <w:pPr>
        <w:pStyle w:val="null3"/>
      </w:pPr>
      <w:r>
        <w:rPr>
          <w:rFonts w:ascii="仿宋_GB2312" w:hAnsi="仿宋_GB2312" w:cs="仿宋_GB2312" w:eastAsia="仿宋_GB2312"/>
        </w:rPr>
        <w:t>采购包最高限价（元）: 960,000.00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计算机国产化根技术融合创新实验室基础软件建设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标的名称：计算机国产化根技术融合创新实验室基础软件建设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rPr>
              <w:t>本项目旨在为计算机科学与技术、软件工程、网络工程和大数据专业提供实验与教学实践环境，满足《数据库原理与应用》、《操作系统》、《编译原理》、《软件工程》、《服务器运维与性能优化》《移动应用开发》等软件工程及信息类相关专业课程的实验实训需求。具体采购需求如下</w:t>
            </w:r>
            <w:r>
              <w:rPr>
                <w:rFonts w:ascii="仿宋_GB2312" w:hAnsi="仿宋_GB2312" w:cs="仿宋_GB2312" w:eastAsia="仿宋_GB2312"/>
                <w:sz w:val="21"/>
              </w:rPr>
              <w:t>：</w:t>
            </w:r>
          </w:p>
          <w:p>
            <w:pPr>
              <w:pStyle w:val="null3"/>
              <w:ind w:firstLine="442"/>
              <w:jc w:val="both"/>
            </w:pPr>
            <w:r>
              <w:rPr>
                <w:rFonts w:ascii="仿宋_GB2312" w:hAnsi="仿宋_GB2312" w:cs="仿宋_GB2312" w:eastAsia="仿宋_GB2312"/>
                <w:sz w:val="22"/>
                <w:b/>
              </w:rPr>
              <w:t>一、项目采购清单</w:t>
            </w:r>
            <w:r>
              <w:br/>
            </w: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915"/>
              <w:gridCol w:w="463"/>
              <w:gridCol w:w="586"/>
              <w:gridCol w:w="586"/>
            </w:tblGrid>
            <w:tr>
              <w:tc>
                <w:tcPr>
                  <w:tcW w:type="dxa" w:w="915"/>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b/>
                    </w:rPr>
                    <w:t>采购项目</w:t>
                  </w:r>
                </w:p>
              </w:tc>
              <w:tc>
                <w:tcPr>
                  <w:tcW w:type="dxa" w:w="463"/>
                  <w:tcBorders>
                    <w:top w:val="singl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b/>
                    </w:rPr>
                    <w:t>数量</w:t>
                  </w:r>
                </w:p>
              </w:tc>
              <w:tc>
                <w:tcPr>
                  <w:tcW w:type="dxa" w:w="586"/>
                  <w:tcBorders>
                    <w:top w:val="singl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b/>
                    </w:rPr>
                    <w:t>单位</w:t>
                  </w:r>
                </w:p>
              </w:tc>
              <w:tc>
                <w:tcPr>
                  <w:tcW w:type="dxa" w:w="586"/>
                  <w:tcBorders>
                    <w:top w:val="singl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b/>
                    </w:rPr>
                    <w:t>备注</w:t>
                  </w:r>
                </w:p>
              </w:tc>
            </w:tr>
            <w:tr>
              <w:tc>
                <w:tcPr>
                  <w:tcW w:type="dxa" w:w="91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非线性计算分析设备</w:t>
                  </w:r>
                </w:p>
              </w:tc>
              <w:tc>
                <w:tcPr>
                  <w:tcW w:type="dxa" w:w="463"/>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2</w:t>
                  </w:r>
                </w:p>
              </w:tc>
              <w:tc>
                <w:tcPr>
                  <w:tcW w:type="dxa" w:w="58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台</w:t>
                  </w:r>
                </w:p>
              </w:tc>
              <w:tc>
                <w:tcPr>
                  <w:tcW w:type="dxa" w:w="58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核心产品</w:t>
                  </w:r>
                </w:p>
              </w:tc>
            </w:tr>
            <w:tr>
              <w:tc>
                <w:tcPr>
                  <w:tcW w:type="dxa" w:w="91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塔式运算设备</w:t>
                  </w:r>
                </w:p>
              </w:tc>
              <w:tc>
                <w:tcPr>
                  <w:tcW w:type="dxa" w:w="463"/>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1</w:t>
                  </w:r>
                </w:p>
              </w:tc>
              <w:tc>
                <w:tcPr>
                  <w:tcW w:type="dxa" w:w="58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台</w:t>
                  </w:r>
                </w:p>
              </w:tc>
              <w:tc>
                <w:tcPr>
                  <w:tcW w:type="dxa" w:w="58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p>
              </w:tc>
            </w:tr>
            <w:tr>
              <w:tc>
                <w:tcPr>
                  <w:tcW w:type="dxa" w:w="91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移动工作站</w:t>
                  </w:r>
                </w:p>
              </w:tc>
              <w:tc>
                <w:tcPr>
                  <w:tcW w:type="dxa" w:w="463"/>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1</w:t>
                  </w:r>
                </w:p>
              </w:tc>
              <w:tc>
                <w:tcPr>
                  <w:tcW w:type="dxa" w:w="58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台</w:t>
                  </w:r>
                </w:p>
              </w:tc>
              <w:tc>
                <w:tcPr>
                  <w:tcW w:type="dxa" w:w="58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p>
              </w:tc>
            </w:tr>
            <w:tr>
              <w:tc>
                <w:tcPr>
                  <w:tcW w:type="dxa" w:w="91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显卡</w:t>
                  </w:r>
                </w:p>
              </w:tc>
              <w:tc>
                <w:tcPr>
                  <w:tcW w:type="dxa" w:w="463"/>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2</w:t>
                  </w:r>
                </w:p>
              </w:tc>
              <w:tc>
                <w:tcPr>
                  <w:tcW w:type="dxa" w:w="58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张</w:t>
                  </w:r>
                </w:p>
              </w:tc>
              <w:tc>
                <w:tcPr>
                  <w:tcW w:type="dxa" w:w="58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p>
              </w:tc>
            </w:tr>
            <w:tr>
              <w:tc>
                <w:tcPr>
                  <w:tcW w:type="dxa" w:w="91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服务器机柜</w:t>
                  </w:r>
                </w:p>
              </w:tc>
              <w:tc>
                <w:tcPr>
                  <w:tcW w:type="dxa" w:w="463"/>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1</w:t>
                  </w:r>
                </w:p>
              </w:tc>
              <w:tc>
                <w:tcPr>
                  <w:tcW w:type="dxa" w:w="58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套</w:t>
                  </w:r>
                </w:p>
              </w:tc>
              <w:tc>
                <w:tcPr>
                  <w:tcW w:type="dxa" w:w="58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p>
              </w:tc>
            </w:tr>
            <w:tr>
              <w:tc>
                <w:tcPr>
                  <w:tcW w:type="dxa" w:w="91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RDMA卡</w:t>
                  </w:r>
                </w:p>
              </w:tc>
              <w:tc>
                <w:tcPr>
                  <w:tcW w:type="dxa" w:w="463"/>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3</w:t>
                  </w:r>
                </w:p>
              </w:tc>
              <w:tc>
                <w:tcPr>
                  <w:tcW w:type="dxa" w:w="58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张</w:t>
                  </w:r>
                </w:p>
              </w:tc>
              <w:tc>
                <w:tcPr>
                  <w:tcW w:type="dxa" w:w="58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p>
              </w:tc>
            </w:tr>
            <w:tr>
              <w:tc>
                <w:tcPr>
                  <w:tcW w:type="dxa" w:w="91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万兆交换机</w:t>
                  </w:r>
                </w:p>
              </w:tc>
              <w:tc>
                <w:tcPr>
                  <w:tcW w:type="dxa" w:w="463"/>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1</w:t>
                  </w:r>
                </w:p>
              </w:tc>
              <w:tc>
                <w:tcPr>
                  <w:tcW w:type="dxa" w:w="58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台</w:t>
                  </w:r>
                </w:p>
              </w:tc>
              <w:tc>
                <w:tcPr>
                  <w:tcW w:type="dxa" w:w="58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p>
              </w:tc>
            </w:tr>
            <w:tr>
              <w:tc>
                <w:tcPr>
                  <w:tcW w:type="dxa" w:w="91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学生终端</w:t>
                  </w:r>
                </w:p>
              </w:tc>
              <w:tc>
                <w:tcPr>
                  <w:tcW w:type="dxa" w:w="463"/>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51</w:t>
                  </w:r>
                </w:p>
              </w:tc>
              <w:tc>
                <w:tcPr>
                  <w:tcW w:type="dxa" w:w="58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个</w:t>
                  </w:r>
                </w:p>
              </w:tc>
              <w:tc>
                <w:tcPr>
                  <w:tcW w:type="dxa" w:w="58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p>
              </w:tc>
            </w:tr>
            <w:tr>
              <w:tc>
                <w:tcPr>
                  <w:tcW w:type="dxa" w:w="91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云桌面接入授权</w:t>
                  </w:r>
                </w:p>
              </w:tc>
              <w:tc>
                <w:tcPr>
                  <w:tcW w:type="dxa" w:w="463"/>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51</w:t>
                  </w:r>
                </w:p>
              </w:tc>
              <w:tc>
                <w:tcPr>
                  <w:tcW w:type="dxa" w:w="58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个</w:t>
                  </w:r>
                </w:p>
              </w:tc>
              <w:tc>
                <w:tcPr>
                  <w:tcW w:type="dxa" w:w="58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p>
              </w:tc>
            </w:tr>
            <w:tr>
              <w:tc>
                <w:tcPr>
                  <w:tcW w:type="dxa" w:w="91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教学管理软件</w:t>
                  </w:r>
                </w:p>
              </w:tc>
              <w:tc>
                <w:tcPr>
                  <w:tcW w:type="dxa" w:w="463"/>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51</w:t>
                  </w:r>
                </w:p>
              </w:tc>
              <w:tc>
                <w:tcPr>
                  <w:tcW w:type="dxa" w:w="58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点位</w:t>
                  </w:r>
                </w:p>
              </w:tc>
              <w:tc>
                <w:tcPr>
                  <w:tcW w:type="dxa" w:w="58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p>
              </w:tc>
            </w:tr>
            <w:tr>
              <w:tc>
                <w:tcPr>
                  <w:tcW w:type="dxa" w:w="91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可视化终端</w:t>
                  </w:r>
                </w:p>
              </w:tc>
              <w:tc>
                <w:tcPr>
                  <w:tcW w:type="dxa" w:w="463"/>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51</w:t>
                  </w:r>
                </w:p>
              </w:tc>
              <w:tc>
                <w:tcPr>
                  <w:tcW w:type="dxa" w:w="58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个</w:t>
                  </w:r>
                </w:p>
              </w:tc>
              <w:tc>
                <w:tcPr>
                  <w:tcW w:type="dxa" w:w="58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p>
              </w:tc>
            </w:tr>
            <w:tr>
              <w:tc>
                <w:tcPr>
                  <w:tcW w:type="dxa" w:w="91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键鼠套装</w:t>
                  </w:r>
                </w:p>
              </w:tc>
              <w:tc>
                <w:tcPr>
                  <w:tcW w:type="dxa" w:w="463"/>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51</w:t>
                  </w:r>
                </w:p>
              </w:tc>
              <w:tc>
                <w:tcPr>
                  <w:tcW w:type="dxa" w:w="58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套</w:t>
                  </w:r>
                </w:p>
              </w:tc>
              <w:tc>
                <w:tcPr>
                  <w:tcW w:type="dxa" w:w="58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p>
              </w:tc>
            </w:tr>
            <w:tr>
              <w:tc>
                <w:tcPr>
                  <w:tcW w:type="dxa" w:w="91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交换机</w:t>
                  </w:r>
                </w:p>
              </w:tc>
              <w:tc>
                <w:tcPr>
                  <w:tcW w:type="dxa" w:w="463"/>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3</w:t>
                  </w:r>
                </w:p>
              </w:tc>
              <w:tc>
                <w:tcPr>
                  <w:tcW w:type="dxa" w:w="58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台</w:t>
                  </w:r>
                </w:p>
              </w:tc>
              <w:tc>
                <w:tcPr>
                  <w:tcW w:type="dxa" w:w="58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p>
              </w:tc>
            </w:tr>
            <w:tr>
              <w:tc>
                <w:tcPr>
                  <w:tcW w:type="dxa" w:w="91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交换机机柜</w:t>
                  </w:r>
                </w:p>
              </w:tc>
              <w:tc>
                <w:tcPr>
                  <w:tcW w:type="dxa" w:w="463"/>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1</w:t>
                  </w:r>
                </w:p>
              </w:tc>
              <w:tc>
                <w:tcPr>
                  <w:tcW w:type="dxa" w:w="58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个</w:t>
                  </w:r>
                </w:p>
              </w:tc>
              <w:tc>
                <w:tcPr>
                  <w:tcW w:type="dxa" w:w="586"/>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p>
              </w:tc>
            </w:tr>
          </w:tbl>
          <w:p>
            <w:pPr>
              <w:pStyle w:val="null3"/>
              <w:jc w:val="both"/>
            </w:pPr>
            <w:r>
              <w:rPr>
                <w:rFonts w:ascii="仿宋_GB2312" w:hAnsi="仿宋_GB2312" w:cs="仿宋_GB2312" w:eastAsia="仿宋_GB2312"/>
              </w:rPr>
              <w:t xml:space="preserve"> </w:t>
            </w:r>
          </w:p>
          <w:p>
            <w:pPr>
              <w:pStyle w:val="null3"/>
              <w:ind w:firstLine="440"/>
              <w:jc w:val="both"/>
            </w:pPr>
            <w:r>
              <w:rPr>
                <w:rFonts w:ascii="仿宋_GB2312" w:hAnsi="仿宋_GB2312" w:cs="仿宋_GB2312" w:eastAsia="仿宋_GB2312"/>
                <w:sz w:val="22"/>
              </w:rPr>
              <w:t>二、设备具体参数与功能要求</w:t>
            </w:r>
          </w:p>
          <w:p>
            <w:pPr>
              <w:pStyle w:val="null3"/>
              <w:ind w:firstLine="440"/>
              <w:jc w:val="both"/>
            </w:pPr>
            <w:r>
              <w:rPr>
                <w:rFonts w:ascii="仿宋_GB2312" w:hAnsi="仿宋_GB2312" w:cs="仿宋_GB2312" w:eastAsia="仿宋_GB2312"/>
                <w:sz w:val="22"/>
              </w:rPr>
              <w:t>1、</w:t>
            </w:r>
            <w:r>
              <w:rPr>
                <w:rFonts w:ascii="仿宋_GB2312" w:hAnsi="仿宋_GB2312" w:cs="仿宋_GB2312" w:eastAsia="仿宋_GB2312"/>
                <w:sz w:val="22"/>
              </w:rPr>
              <w:t>非线性计算分析设备</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1）★控制模块：配置不少于2颗处理器，单颗处理器不少于</w:t>
            </w:r>
            <w:r>
              <w:rPr>
                <w:rFonts w:ascii="仿宋_GB2312" w:hAnsi="仿宋_GB2312" w:cs="仿宋_GB2312" w:eastAsia="仿宋_GB2312"/>
                <w:sz w:val="22"/>
              </w:rPr>
              <w:t>32</w:t>
            </w:r>
            <w:r>
              <w:rPr>
                <w:rFonts w:ascii="仿宋_GB2312" w:hAnsi="仿宋_GB2312" w:cs="仿宋_GB2312" w:eastAsia="仿宋_GB2312"/>
                <w:sz w:val="22"/>
              </w:rPr>
              <w:t>核，工作速率不低于</w:t>
            </w:r>
            <w:r>
              <w:rPr>
                <w:rFonts w:ascii="仿宋_GB2312" w:hAnsi="仿宋_GB2312" w:cs="仿宋_GB2312" w:eastAsia="仿宋_GB2312"/>
                <w:sz w:val="22"/>
              </w:rPr>
              <w:t>2.</w:t>
            </w:r>
            <w:r>
              <w:rPr>
                <w:rFonts w:ascii="仿宋_GB2312" w:hAnsi="仿宋_GB2312" w:cs="仿宋_GB2312" w:eastAsia="仿宋_GB2312"/>
                <w:sz w:val="22"/>
              </w:rPr>
              <w:t>1</w:t>
            </w:r>
            <w:r>
              <w:rPr>
                <w:rFonts w:ascii="仿宋_GB2312" w:hAnsi="仿宋_GB2312" w:cs="仿宋_GB2312" w:eastAsia="仿宋_GB2312"/>
                <w:sz w:val="22"/>
              </w:rPr>
              <w:t>GHz；</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2）★内存模块：总容量不低于</w:t>
            </w:r>
            <w:r>
              <w:rPr>
                <w:rFonts w:ascii="仿宋_GB2312" w:hAnsi="仿宋_GB2312" w:cs="仿宋_GB2312" w:eastAsia="仿宋_GB2312"/>
                <w:sz w:val="22"/>
              </w:rPr>
              <w:t>96</w:t>
            </w:r>
            <w:r>
              <w:rPr>
                <w:rFonts w:ascii="仿宋_GB2312" w:hAnsi="仿宋_GB2312" w:cs="仿宋_GB2312" w:eastAsia="仿宋_GB2312"/>
                <w:sz w:val="22"/>
              </w:rPr>
              <w:t>GB，规格不低于DDR5 4800MHz，支持内存扩展，可满足多任务并行处理的需求；</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3）★存储模块：配置固态硬盘容量不少于960GB，配置SATA存储硬盘容量不少于4TB；</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4）网络模块：配置不少于2个10GE SFP+光口，支持高速网络互联；</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5）系统要求：支持国产操作系统，适配专业教学场景。提供管理接口，支持Web管理</w:t>
            </w:r>
            <w:r>
              <w:rPr>
                <w:rFonts w:ascii="仿宋_GB2312" w:hAnsi="仿宋_GB2312" w:cs="仿宋_GB2312" w:eastAsia="仿宋_GB2312"/>
                <w:sz w:val="22"/>
              </w:rPr>
              <w:t>。</w:t>
            </w:r>
          </w:p>
          <w:p>
            <w:pPr>
              <w:pStyle w:val="null3"/>
              <w:ind w:firstLine="440"/>
              <w:jc w:val="both"/>
            </w:pPr>
            <w:r>
              <w:rPr>
                <w:rFonts w:ascii="仿宋_GB2312" w:hAnsi="仿宋_GB2312" w:cs="仿宋_GB2312" w:eastAsia="仿宋_GB2312"/>
                <w:sz w:val="22"/>
              </w:rPr>
              <w:t>2、塔式</w:t>
            </w:r>
            <w:r>
              <w:rPr>
                <w:rFonts w:ascii="仿宋_GB2312" w:hAnsi="仿宋_GB2312" w:cs="仿宋_GB2312" w:eastAsia="仿宋_GB2312"/>
                <w:sz w:val="22"/>
              </w:rPr>
              <w:t>运算设备</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1）控制模块：配置不少于2颗处理器，单颗处理器不少于</w:t>
            </w:r>
            <w:r>
              <w:rPr>
                <w:rFonts w:ascii="仿宋_GB2312" w:hAnsi="仿宋_GB2312" w:cs="仿宋_GB2312" w:eastAsia="仿宋_GB2312"/>
                <w:sz w:val="22"/>
              </w:rPr>
              <w:t>32</w:t>
            </w:r>
            <w:r>
              <w:rPr>
                <w:rFonts w:ascii="仿宋_GB2312" w:hAnsi="仿宋_GB2312" w:cs="仿宋_GB2312" w:eastAsia="仿宋_GB2312"/>
                <w:sz w:val="22"/>
              </w:rPr>
              <w:t>核，工作速率不低于</w:t>
            </w:r>
            <w:r>
              <w:rPr>
                <w:rFonts w:ascii="仿宋_GB2312" w:hAnsi="仿宋_GB2312" w:cs="仿宋_GB2312" w:eastAsia="仿宋_GB2312"/>
                <w:sz w:val="22"/>
              </w:rPr>
              <w:t>2.1GHz；</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2）内存模块：总容量不低于</w:t>
            </w:r>
            <w:r>
              <w:rPr>
                <w:rFonts w:ascii="仿宋_GB2312" w:hAnsi="仿宋_GB2312" w:cs="仿宋_GB2312" w:eastAsia="仿宋_GB2312"/>
                <w:sz w:val="22"/>
              </w:rPr>
              <w:t>128</w:t>
            </w:r>
            <w:r>
              <w:rPr>
                <w:rFonts w:ascii="仿宋_GB2312" w:hAnsi="仿宋_GB2312" w:cs="仿宋_GB2312" w:eastAsia="仿宋_GB2312"/>
                <w:sz w:val="22"/>
              </w:rPr>
              <w:t>GB，规格不低于DDR5 4800MHz，支持内存扩展，可满足多任务并行处理的需求；</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3）存储模块：配置固态硬盘容量不少于</w:t>
            </w:r>
            <w:r>
              <w:rPr>
                <w:rFonts w:ascii="仿宋_GB2312" w:hAnsi="仿宋_GB2312" w:cs="仿宋_GB2312" w:eastAsia="仿宋_GB2312"/>
                <w:sz w:val="22"/>
              </w:rPr>
              <w:t>960GB</w:t>
            </w:r>
            <w:r>
              <w:rPr>
                <w:rFonts w:ascii="仿宋_GB2312" w:hAnsi="仿宋_GB2312" w:cs="仿宋_GB2312" w:eastAsia="仿宋_GB2312"/>
                <w:sz w:val="22"/>
              </w:rPr>
              <w:t>，配置</w:t>
            </w:r>
            <w:r>
              <w:rPr>
                <w:rFonts w:ascii="仿宋_GB2312" w:hAnsi="仿宋_GB2312" w:cs="仿宋_GB2312" w:eastAsia="仿宋_GB2312"/>
                <w:sz w:val="22"/>
              </w:rPr>
              <w:t>SATA存储硬盘容量不少于8TB；</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）网络模块：配置不少于</w:t>
            </w:r>
            <w:r>
              <w:rPr>
                <w:rFonts w:ascii="仿宋_GB2312" w:hAnsi="仿宋_GB2312" w:cs="仿宋_GB2312" w:eastAsia="仿宋_GB2312"/>
                <w:sz w:val="22"/>
              </w:rPr>
              <w:t>1个GE端口，支持网络互联；</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5）智算模块：国产智算加速模块不少于1个，</w:t>
            </w:r>
            <w:r>
              <w:rPr>
                <w:rFonts w:ascii="仿宋_GB2312" w:hAnsi="仿宋_GB2312" w:cs="仿宋_GB2312" w:eastAsia="仿宋_GB2312"/>
                <w:sz w:val="22"/>
              </w:rPr>
              <w:t>高速</w:t>
            </w:r>
            <w:r>
              <w:rPr>
                <w:rFonts w:ascii="仿宋_GB2312" w:hAnsi="仿宋_GB2312" w:cs="仿宋_GB2312" w:eastAsia="仿宋_GB2312"/>
                <w:sz w:val="22"/>
              </w:rPr>
              <w:t>显存</w:t>
            </w:r>
            <w:r>
              <w:rPr>
                <w:rFonts w:ascii="仿宋_GB2312" w:hAnsi="仿宋_GB2312" w:cs="仿宋_GB2312" w:eastAsia="仿宋_GB2312"/>
                <w:sz w:val="22"/>
              </w:rPr>
              <w:t>不少于</w:t>
            </w:r>
            <w:r>
              <w:rPr>
                <w:rFonts w:ascii="仿宋_GB2312" w:hAnsi="仿宋_GB2312" w:cs="仿宋_GB2312" w:eastAsia="仿宋_GB2312"/>
                <w:sz w:val="22"/>
              </w:rPr>
              <w:t>64</w:t>
            </w:r>
            <w:r>
              <w:rPr>
                <w:rFonts w:ascii="仿宋_GB2312" w:hAnsi="仿宋_GB2312" w:cs="仿宋_GB2312" w:eastAsia="仿宋_GB2312"/>
                <w:sz w:val="22"/>
              </w:rPr>
              <w:t>GB，</w:t>
            </w:r>
            <w:r>
              <w:rPr>
                <w:rFonts w:ascii="仿宋_GB2312" w:hAnsi="仿宋_GB2312" w:cs="仿宋_GB2312" w:eastAsia="仿宋_GB2312"/>
                <w:sz w:val="22"/>
              </w:rPr>
              <w:t>显存</w:t>
            </w:r>
            <w:r>
              <w:rPr>
                <w:rFonts w:ascii="仿宋_GB2312" w:hAnsi="仿宋_GB2312" w:cs="仿宋_GB2312" w:eastAsia="仿宋_GB2312"/>
                <w:sz w:val="22"/>
              </w:rPr>
              <w:t>带宽不低于</w:t>
            </w:r>
            <w:r>
              <w:rPr>
                <w:rFonts w:ascii="仿宋_GB2312" w:hAnsi="仿宋_GB2312" w:cs="仿宋_GB2312" w:eastAsia="仿宋_GB2312"/>
                <w:sz w:val="22"/>
              </w:rPr>
              <w:t>1000G</w:t>
            </w:r>
            <w:r>
              <w:rPr>
                <w:rFonts w:ascii="仿宋_GB2312" w:hAnsi="仿宋_GB2312" w:cs="仿宋_GB2312" w:eastAsia="仿宋_GB2312"/>
                <w:sz w:val="22"/>
              </w:rPr>
              <w:t>B/s</w:t>
            </w:r>
            <w:r>
              <w:rPr>
                <w:rFonts w:ascii="仿宋_GB2312" w:hAnsi="仿宋_GB2312" w:cs="仿宋_GB2312" w:eastAsia="仿宋_GB2312"/>
                <w:sz w:val="22"/>
              </w:rPr>
              <w:t>，</w:t>
            </w:r>
            <w:r>
              <w:rPr>
                <w:rFonts w:ascii="仿宋_GB2312" w:hAnsi="仿宋_GB2312" w:cs="仿宋_GB2312" w:eastAsia="仿宋_GB2312"/>
                <w:sz w:val="22"/>
              </w:rPr>
              <w:t>半</w:t>
            </w:r>
            <w:r>
              <w:rPr>
                <w:rFonts w:ascii="仿宋_GB2312" w:hAnsi="仿宋_GB2312" w:cs="仿宋_GB2312" w:eastAsia="仿宋_GB2312"/>
                <w:sz w:val="22"/>
              </w:rPr>
              <w:t>精度浮点计算能力不低于</w:t>
            </w:r>
            <w:r>
              <w:rPr>
                <w:rFonts w:ascii="仿宋_GB2312" w:hAnsi="仿宋_GB2312" w:cs="仿宋_GB2312" w:eastAsia="仿宋_GB2312"/>
                <w:sz w:val="22"/>
              </w:rPr>
              <w:t>224</w:t>
            </w:r>
            <w:r>
              <w:rPr>
                <w:rFonts w:ascii="仿宋_GB2312" w:hAnsi="仿宋_GB2312" w:cs="仿宋_GB2312" w:eastAsia="仿宋_GB2312"/>
                <w:sz w:val="22"/>
              </w:rPr>
              <w:t>TFLOPS</w:t>
            </w:r>
            <w:r>
              <w:rPr>
                <w:rFonts w:ascii="仿宋_GB2312" w:hAnsi="仿宋_GB2312" w:cs="仿宋_GB2312" w:eastAsia="仿宋_GB2312"/>
                <w:sz w:val="22"/>
              </w:rPr>
              <w:t>；</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6）显示模块：数量不少于1个，显存不低于12GB GDDR7，显存带宽不少于672GB/s；</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7</w:t>
            </w:r>
            <w:r>
              <w:rPr>
                <w:rFonts w:ascii="仿宋_GB2312" w:hAnsi="仿宋_GB2312" w:cs="仿宋_GB2312" w:eastAsia="仿宋_GB2312"/>
                <w:sz w:val="22"/>
              </w:rPr>
              <w:t>）系统要求：支持国产操作系统，适配专业教学场景。提供管理接口，支持</w:t>
            </w:r>
            <w:r>
              <w:rPr>
                <w:rFonts w:ascii="仿宋_GB2312" w:hAnsi="仿宋_GB2312" w:cs="仿宋_GB2312" w:eastAsia="仿宋_GB2312"/>
                <w:sz w:val="22"/>
              </w:rPr>
              <w:t>Web管理。</w:t>
            </w:r>
          </w:p>
          <w:p>
            <w:pPr>
              <w:pStyle w:val="null3"/>
              <w:ind w:firstLine="440"/>
              <w:jc w:val="both"/>
            </w:pPr>
            <w:r>
              <w:rPr>
                <w:rFonts w:ascii="仿宋_GB2312" w:hAnsi="仿宋_GB2312" w:cs="仿宋_GB2312" w:eastAsia="仿宋_GB2312"/>
                <w:sz w:val="22"/>
              </w:rPr>
              <w:t>3、移动工作站</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1）控制模块：配置不少于1颗处理器，处理器不少于24核，不少于24线程，工作速率不低于2.1GHz，二级高速缓存不低于40MB；</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2）内存模块：总容量不低于64GB，规格不低于DDR5 4800MHz；</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3）存储模块：配置固态硬盘容量不少于2TB；</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4）智能加速模块：高速缓存不少于24GB，规格不低于GDDR7，带宽不低于896GB/s；统一计算单元不少于10</w:t>
            </w:r>
            <w:r>
              <w:rPr>
                <w:rFonts w:ascii="仿宋_GB2312" w:hAnsi="仿宋_GB2312" w:cs="仿宋_GB2312" w:eastAsia="仿宋_GB2312"/>
                <w:sz w:val="22"/>
              </w:rPr>
              <w:t>000</w:t>
            </w:r>
            <w:r>
              <w:rPr>
                <w:rFonts w:ascii="仿宋_GB2312" w:hAnsi="仿宋_GB2312" w:cs="仿宋_GB2312" w:eastAsia="仿宋_GB2312"/>
                <w:sz w:val="22"/>
              </w:rPr>
              <w:t>个，加速频率不低于</w:t>
            </w:r>
            <w:r>
              <w:rPr>
                <w:rFonts w:ascii="仿宋_GB2312" w:hAnsi="仿宋_GB2312" w:cs="仿宋_GB2312" w:eastAsia="仿宋_GB2312"/>
                <w:sz w:val="22"/>
              </w:rPr>
              <w:t>1500MHz，智能计算能力不低于18</w:t>
            </w:r>
            <w:r>
              <w:rPr>
                <w:rFonts w:ascii="仿宋_GB2312" w:hAnsi="仿宋_GB2312" w:cs="仿宋_GB2312" w:eastAsia="仿宋_GB2312"/>
                <w:sz w:val="22"/>
              </w:rPr>
              <w:t>00</w:t>
            </w:r>
            <w:r>
              <w:rPr>
                <w:rFonts w:ascii="仿宋_GB2312" w:hAnsi="仿宋_GB2312" w:cs="仿宋_GB2312" w:eastAsia="仿宋_GB2312"/>
                <w:sz w:val="21"/>
              </w:rPr>
              <w:t xml:space="preserve"> </w:t>
            </w:r>
            <w:r>
              <w:rPr>
                <w:rFonts w:ascii="仿宋_GB2312" w:hAnsi="仿宋_GB2312" w:cs="仿宋_GB2312" w:eastAsia="仿宋_GB2312"/>
                <w:sz w:val="22"/>
              </w:rPr>
              <w:t xml:space="preserve">AI </w:t>
            </w:r>
            <w:r>
              <w:rPr>
                <w:rFonts w:ascii="仿宋_GB2312" w:hAnsi="仿宋_GB2312" w:cs="仿宋_GB2312" w:eastAsia="仿宋_GB2312"/>
                <w:sz w:val="22"/>
              </w:rPr>
              <w:t>TOPS；</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5）网络模块：配置不少于1个GE端口，支持网络互联；</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6）显示模块：SDR亮度不低于600nit，分辨率不低于</w:t>
            </w:r>
            <w:r>
              <w:rPr>
                <w:rFonts w:ascii="仿宋_GB2312" w:hAnsi="仿宋_GB2312" w:cs="仿宋_GB2312" w:eastAsia="仿宋_GB2312"/>
                <w:sz w:val="22"/>
              </w:rPr>
              <w:t>2560</w:t>
            </w:r>
            <w:r>
              <w:rPr>
                <w:rFonts w:ascii="仿宋_GB2312" w:hAnsi="仿宋_GB2312" w:cs="仿宋_GB2312" w:eastAsia="仿宋_GB2312"/>
                <w:sz w:val="22"/>
              </w:rPr>
              <w:t>×</w:t>
            </w:r>
            <w:r>
              <w:rPr>
                <w:rFonts w:ascii="仿宋_GB2312" w:hAnsi="仿宋_GB2312" w:cs="仿宋_GB2312" w:eastAsia="仿宋_GB2312"/>
                <w:sz w:val="22"/>
              </w:rPr>
              <w:t>1440</w:t>
            </w:r>
            <w:r>
              <w:rPr>
                <w:rFonts w:ascii="仿宋_GB2312" w:hAnsi="仿宋_GB2312" w:cs="仿宋_GB2312" w:eastAsia="仿宋_GB2312"/>
                <w:sz w:val="22"/>
              </w:rPr>
              <w:t>，色彩还原能力达到</w:t>
            </w:r>
            <w:r>
              <w:rPr>
                <w:rFonts w:ascii="仿宋_GB2312" w:hAnsi="仿宋_GB2312" w:cs="仿宋_GB2312" w:eastAsia="仿宋_GB2312"/>
                <w:sz w:val="22"/>
              </w:rPr>
              <w:t>100% DCI-P3 色域，通过低蓝光认证。</w:t>
            </w:r>
          </w:p>
          <w:p>
            <w:pPr>
              <w:pStyle w:val="null3"/>
              <w:ind w:firstLine="440"/>
              <w:jc w:val="both"/>
            </w:pPr>
            <w:r>
              <w:rPr>
                <w:rFonts w:ascii="仿宋_GB2312" w:hAnsi="仿宋_GB2312" w:cs="仿宋_GB2312" w:eastAsia="仿宋_GB2312"/>
                <w:sz w:val="22"/>
              </w:rPr>
              <w:t>4、显卡</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1）高速</w:t>
            </w:r>
            <w:r>
              <w:rPr>
                <w:rFonts w:ascii="仿宋_GB2312" w:hAnsi="仿宋_GB2312" w:cs="仿宋_GB2312" w:eastAsia="仿宋_GB2312"/>
                <w:sz w:val="22"/>
              </w:rPr>
              <w:t>显存</w:t>
            </w:r>
            <w:r>
              <w:rPr>
                <w:rFonts w:ascii="仿宋_GB2312" w:hAnsi="仿宋_GB2312" w:cs="仿宋_GB2312" w:eastAsia="仿宋_GB2312"/>
                <w:sz w:val="22"/>
              </w:rPr>
              <w:t>不少于</w:t>
            </w:r>
            <w:r>
              <w:rPr>
                <w:rFonts w:ascii="仿宋_GB2312" w:hAnsi="仿宋_GB2312" w:cs="仿宋_GB2312" w:eastAsia="仿宋_GB2312"/>
                <w:sz w:val="22"/>
              </w:rPr>
              <w:t>64</w:t>
            </w:r>
            <w:r>
              <w:rPr>
                <w:rFonts w:ascii="仿宋_GB2312" w:hAnsi="仿宋_GB2312" w:cs="仿宋_GB2312" w:eastAsia="仿宋_GB2312"/>
                <w:sz w:val="22"/>
              </w:rPr>
              <w:t>GB</w:t>
            </w:r>
            <w:r>
              <w:rPr>
                <w:rFonts w:ascii="仿宋_GB2312" w:hAnsi="仿宋_GB2312" w:cs="仿宋_GB2312" w:eastAsia="仿宋_GB2312"/>
                <w:sz w:val="22"/>
              </w:rPr>
              <w:t>，</w:t>
            </w:r>
            <w:r>
              <w:rPr>
                <w:rFonts w:ascii="仿宋_GB2312" w:hAnsi="仿宋_GB2312" w:cs="仿宋_GB2312" w:eastAsia="仿宋_GB2312"/>
                <w:sz w:val="22"/>
              </w:rPr>
              <w:t>接口不低于</w:t>
            </w:r>
            <w:r>
              <w:rPr>
                <w:rFonts w:ascii="仿宋_GB2312" w:hAnsi="仿宋_GB2312" w:cs="仿宋_GB2312" w:eastAsia="仿宋_GB2312"/>
                <w:sz w:val="22"/>
              </w:rPr>
              <w:t>PCle Gen4.0 x 16</w:t>
            </w:r>
            <w:r>
              <w:rPr>
                <w:rFonts w:ascii="仿宋_GB2312" w:hAnsi="仿宋_GB2312" w:cs="仿宋_GB2312" w:eastAsia="仿宋_GB2312"/>
                <w:sz w:val="22"/>
              </w:rPr>
              <w:t>；</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2）设备的</w:t>
            </w:r>
            <w:r>
              <w:rPr>
                <w:rFonts w:ascii="仿宋_GB2312" w:hAnsi="仿宋_GB2312" w:cs="仿宋_GB2312" w:eastAsia="仿宋_GB2312"/>
                <w:sz w:val="22"/>
              </w:rPr>
              <w:t>半</w:t>
            </w:r>
            <w:r>
              <w:rPr>
                <w:rFonts w:ascii="仿宋_GB2312" w:hAnsi="仿宋_GB2312" w:cs="仿宋_GB2312" w:eastAsia="仿宋_GB2312"/>
                <w:sz w:val="22"/>
              </w:rPr>
              <w:t>精度浮点计算能力不低于</w:t>
            </w:r>
            <w:r>
              <w:rPr>
                <w:rFonts w:ascii="仿宋_GB2312" w:hAnsi="仿宋_GB2312" w:cs="仿宋_GB2312" w:eastAsia="仿宋_GB2312"/>
                <w:sz w:val="22"/>
              </w:rPr>
              <w:t>224</w:t>
            </w:r>
            <w:r>
              <w:rPr>
                <w:rFonts w:ascii="仿宋_GB2312" w:hAnsi="仿宋_GB2312" w:cs="仿宋_GB2312" w:eastAsia="仿宋_GB2312"/>
                <w:sz w:val="22"/>
              </w:rPr>
              <w:t>TFLOPS，兼容主流通用计算软件框架</w:t>
            </w:r>
            <w:r>
              <w:rPr>
                <w:rFonts w:ascii="仿宋_GB2312" w:hAnsi="仿宋_GB2312" w:cs="仿宋_GB2312" w:eastAsia="仿宋_GB2312"/>
                <w:sz w:val="22"/>
              </w:rPr>
              <w:t>，</w:t>
            </w:r>
            <w:r>
              <w:rPr>
                <w:rFonts w:ascii="仿宋_GB2312" w:hAnsi="仿宋_GB2312" w:cs="仿宋_GB2312" w:eastAsia="仿宋_GB2312"/>
                <w:sz w:val="22"/>
              </w:rPr>
              <w:t>支持主流深度学习开发框架。</w:t>
            </w:r>
          </w:p>
          <w:p>
            <w:pPr>
              <w:pStyle w:val="null3"/>
              <w:ind w:firstLine="440"/>
              <w:jc w:val="both"/>
            </w:pPr>
            <w:r>
              <w:rPr>
                <w:rFonts w:ascii="仿宋_GB2312" w:hAnsi="仿宋_GB2312" w:cs="仿宋_GB2312" w:eastAsia="仿宋_GB2312"/>
                <w:sz w:val="22"/>
              </w:rPr>
              <w:t>5、服务器机柜</w:t>
            </w:r>
          </w:p>
          <w:p>
            <w:pPr>
              <w:pStyle w:val="null3"/>
              <w:ind w:firstLine="440"/>
              <w:jc w:val="both"/>
            </w:pPr>
            <w:r>
              <w:rPr>
                <w:rFonts w:ascii="仿宋_GB2312" w:hAnsi="仿宋_GB2312" w:cs="仿宋_GB2312" w:eastAsia="仿宋_GB2312"/>
                <w:sz w:val="22"/>
              </w:rPr>
              <w:t>不少于</w:t>
            </w:r>
            <w:r>
              <w:rPr>
                <w:rFonts w:ascii="仿宋_GB2312" w:hAnsi="仿宋_GB2312" w:cs="仿宋_GB2312" w:eastAsia="仿宋_GB2312"/>
                <w:sz w:val="22"/>
              </w:rPr>
              <w:t>1套标准容量机柜，尺寸不小于</w:t>
            </w:r>
            <w:r>
              <w:rPr>
                <w:rFonts w:ascii="仿宋_GB2312" w:hAnsi="仿宋_GB2312" w:cs="仿宋_GB2312" w:eastAsia="仿宋_GB2312"/>
                <w:sz w:val="22"/>
              </w:rPr>
              <w:t>60</w:t>
            </w:r>
            <w:r>
              <w:rPr>
                <w:rFonts w:ascii="仿宋_GB2312" w:hAnsi="仿宋_GB2312" w:cs="仿宋_GB2312" w:eastAsia="仿宋_GB2312"/>
                <w:sz w:val="22"/>
              </w:rPr>
              <w:t>0mm*1</w:t>
            </w:r>
            <w:r>
              <w:rPr>
                <w:rFonts w:ascii="仿宋_GB2312" w:hAnsi="仿宋_GB2312" w:cs="仿宋_GB2312" w:eastAsia="仿宋_GB2312"/>
                <w:sz w:val="22"/>
              </w:rPr>
              <w:t>2</w:t>
            </w:r>
            <w:r>
              <w:rPr>
                <w:rFonts w:ascii="仿宋_GB2312" w:hAnsi="仿宋_GB2312" w:cs="仿宋_GB2312" w:eastAsia="仿宋_GB2312"/>
                <w:sz w:val="22"/>
              </w:rPr>
              <w:t>00mm*2</w:t>
            </w:r>
            <w:r>
              <w:rPr>
                <w:rFonts w:ascii="仿宋_GB2312" w:hAnsi="仿宋_GB2312" w:cs="仿宋_GB2312" w:eastAsia="仿宋_GB2312"/>
                <w:sz w:val="22"/>
              </w:rPr>
              <w:t>0</w:t>
            </w:r>
            <w:r>
              <w:rPr>
                <w:rFonts w:ascii="仿宋_GB2312" w:hAnsi="仿宋_GB2312" w:cs="仿宋_GB2312" w:eastAsia="仿宋_GB2312"/>
                <w:sz w:val="22"/>
              </w:rPr>
              <w:t>00mm，配置10A PDU供电单元和散热单元。</w:t>
            </w:r>
          </w:p>
          <w:p>
            <w:pPr>
              <w:pStyle w:val="null3"/>
              <w:ind w:firstLine="440"/>
              <w:jc w:val="both"/>
            </w:pPr>
            <w:r>
              <w:rPr>
                <w:rFonts w:ascii="仿宋_GB2312" w:hAnsi="仿宋_GB2312" w:cs="仿宋_GB2312" w:eastAsia="仿宋_GB2312"/>
                <w:sz w:val="22"/>
              </w:rPr>
              <w:t>6、高性能网卡</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1）总线接口不低于PCI Express 4.0 x8；端口类型: 2xSFP28；接口速率: 支持25/10/1 GbE；</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2）RDMA (远程直接内存访问): 支持 RoCE</w:t>
            </w:r>
            <w:r>
              <w:rPr>
                <w:rFonts w:ascii="仿宋_GB2312" w:hAnsi="仿宋_GB2312" w:cs="仿宋_GB2312" w:eastAsia="仿宋_GB2312"/>
                <w:sz w:val="22"/>
              </w:rPr>
              <w:t>；</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3）网络虚拟化与硬件加速功能：支持SR-IOV；</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4）远程管理支持SNMP</w:t>
            </w:r>
            <w:r>
              <w:rPr>
                <w:rFonts w:ascii="仿宋_GB2312" w:hAnsi="仿宋_GB2312" w:cs="仿宋_GB2312" w:eastAsia="仿宋_GB2312"/>
                <w:sz w:val="22"/>
              </w:rPr>
              <w:t>。</w:t>
            </w:r>
          </w:p>
          <w:p>
            <w:pPr>
              <w:pStyle w:val="null3"/>
              <w:ind w:firstLine="440"/>
              <w:jc w:val="both"/>
            </w:pPr>
            <w:r>
              <w:rPr>
                <w:rFonts w:ascii="仿宋_GB2312" w:hAnsi="仿宋_GB2312" w:cs="仿宋_GB2312" w:eastAsia="仿宋_GB2312"/>
                <w:sz w:val="22"/>
              </w:rPr>
              <w:t>7、万兆交换机</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1）要求配置不少于24个下行高速端口，端口速率不低于10G；</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2）上行不少于6个高速端口，速率不低于100G，支持全光互联；</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3）整个节点交换容量不低于2Tbps，包转发率不低于900Mpps；</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4）支持常见的VLAN、OSPF V3、ISIS、BGP、QoS等协议，支持Web管理。</w:t>
            </w:r>
          </w:p>
          <w:p>
            <w:pPr>
              <w:pStyle w:val="null3"/>
              <w:ind w:firstLine="440"/>
              <w:jc w:val="both"/>
            </w:pPr>
            <w:r>
              <w:rPr>
                <w:rFonts w:ascii="仿宋_GB2312" w:hAnsi="仿宋_GB2312" w:cs="仿宋_GB2312" w:eastAsia="仿宋_GB2312"/>
                <w:sz w:val="22"/>
              </w:rPr>
              <w:t>8、学生终端</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1）架构：ARM架构嵌入式云终端；</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2）CPU：不低于四核，最大频率可到2.0GHz；</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3）内存：≥2GB；</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4）硬盘：≥32GB；</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5）接口：≥2个USB 3.0端口，4个USB 2.0端口，1个VGA口，1个HDMI口，1个3.5mm耳机麦克二合一接口；</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 xml:space="preserve">6）网络：1个10/100/1000Mbps自适应网口；  </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7）电源：12V/3A</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8）安装方式：支持背挂（100*100mm）</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9）★单个终端可部署多个操作系统，支持在管理平台上设置终端共享数据盘，所有操作系统均可见，可设置终端共享数据盘的的空间大小，并能设定清除策略，包含不清除/每周清除/每月清除；</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10）★单个终端可同时支持教学桌面和个人桌面两种使用方式，教学桌面开机无需账号直接进入桌面，个人桌面开机须输入账号密码进入桌面；管理台可控制允许终端进入的桌面类型，包括仅使用教学桌面，仅使用个人桌面，混合登录三种方式；</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11）★支持在一个终端上通过一个账号密码，同时登录多个个人桌面，桌面可窗口化显示，可以拖动缩放,无需桌面切换即可满足用户同时使用不同桌面的场景；</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12）支持云终端联动关机设置策略，可实现虚拟桌面正常关机时，终端设备自动关机；终端设备按电源键时虚拟桌面自动关机，终端异常断电时可根据策略实现虚拟机自动关机或挂起；</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13）★为保证对接稳定性，学生终端需要和云桌面接入授权以及教学管理软件为同一品牌。</w:t>
            </w:r>
          </w:p>
          <w:p>
            <w:pPr>
              <w:pStyle w:val="null3"/>
              <w:ind w:firstLine="440"/>
              <w:jc w:val="both"/>
            </w:pPr>
            <w:r>
              <w:rPr>
                <w:rFonts w:ascii="仿宋_GB2312" w:hAnsi="仿宋_GB2312" w:cs="仿宋_GB2312" w:eastAsia="仿宋_GB2312"/>
                <w:sz w:val="22"/>
              </w:rPr>
              <w:t>9、云桌面接入授权</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虚拟化软件可直接安装在物理服务器上，通过一个安装包即可实现VDI/VOI/IDV三种架构云桌面服务端的统一安装，并立即生效使用，无需部署其他组件，安装完成后管理平台可通过账号密码及微信扫码多种方式登录；</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2）管理平台和终端支持IPv4、IPv6网络环境下的安装使用，可配置IPv4、IPv6网络信息；</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3）支持多区域资源汇总分析，可统计所有</w:t>
            </w:r>
            <w:r>
              <w:rPr>
                <w:rFonts w:ascii="仿宋_GB2312" w:hAnsi="仿宋_GB2312" w:cs="仿宋_GB2312" w:eastAsia="仿宋_GB2312"/>
                <w:sz w:val="22"/>
              </w:rPr>
              <w:t>区域</w:t>
            </w:r>
            <w:r>
              <w:rPr>
                <w:rFonts w:ascii="仿宋_GB2312" w:hAnsi="仿宋_GB2312" w:cs="仿宋_GB2312" w:eastAsia="仿宋_GB2312"/>
                <w:sz w:val="22"/>
              </w:rPr>
              <w:t>的桌面云部署信息，至少包括服务器数量，</w:t>
            </w:r>
            <w:r>
              <w:rPr>
                <w:rFonts w:ascii="仿宋_GB2312" w:hAnsi="仿宋_GB2312" w:cs="仿宋_GB2312" w:eastAsia="仿宋_GB2312"/>
                <w:sz w:val="22"/>
              </w:rPr>
              <w:t>CPU、内存、存储使用率，教室数量，终端数量，桌面数量等，也可统计分析桌面使用次数，桌面使用时长等信息；</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4）★单个平台可交付多种类型桌面，至少包括VDI桌面、VOI桌面、IDV桌面、漫游桌面、个人桌面；</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5）★支持批量部署裸虚拟机环境；</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6）支持在WEB管理平台上直接对服务器SSD硬盘进行性能测试，不依赖第三方测试工具，可获取SSD硬盘16K随机读、顺序写数值，并给出测试评级结果，便于管理员定位系统故障；</w:t>
            </w:r>
            <w:r>
              <w:rPr>
                <w:rFonts w:ascii="仿宋_GB2312" w:hAnsi="仿宋_GB2312" w:cs="仿宋_GB2312" w:eastAsia="仿宋_GB2312"/>
                <w:sz w:val="22"/>
                <w:b/>
              </w:rPr>
              <w:t>（此项需提供现场功能演示，供应商需提供演示视频）</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7）★单个终端可同时支持教学桌面</w:t>
            </w:r>
            <w:r>
              <w:rPr>
                <w:rFonts w:ascii="仿宋_GB2312" w:hAnsi="仿宋_GB2312" w:cs="仿宋_GB2312" w:eastAsia="仿宋_GB2312"/>
                <w:sz w:val="22"/>
              </w:rPr>
              <w:t>（</w:t>
            </w:r>
            <w:r>
              <w:rPr>
                <w:rFonts w:ascii="仿宋_GB2312" w:hAnsi="仿宋_GB2312" w:cs="仿宋_GB2312" w:eastAsia="仿宋_GB2312"/>
                <w:sz w:val="22"/>
              </w:rPr>
              <w:t>或公共桌面</w:t>
            </w:r>
            <w:r>
              <w:rPr>
                <w:rFonts w:ascii="仿宋_GB2312" w:hAnsi="仿宋_GB2312" w:cs="仿宋_GB2312" w:eastAsia="仿宋_GB2312"/>
                <w:sz w:val="22"/>
              </w:rPr>
              <w:t>）</w:t>
            </w:r>
            <w:r>
              <w:rPr>
                <w:rFonts w:ascii="仿宋_GB2312" w:hAnsi="仿宋_GB2312" w:cs="仿宋_GB2312" w:eastAsia="仿宋_GB2312"/>
                <w:sz w:val="22"/>
              </w:rPr>
              <w:t>和个人桌面</w:t>
            </w:r>
            <w:r>
              <w:rPr>
                <w:rFonts w:ascii="仿宋_GB2312" w:hAnsi="仿宋_GB2312" w:cs="仿宋_GB2312" w:eastAsia="仿宋_GB2312"/>
                <w:sz w:val="22"/>
              </w:rPr>
              <w:t>（</w:t>
            </w:r>
            <w:r>
              <w:rPr>
                <w:rFonts w:ascii="仿宋_GB2312" w:hAnsi="仿宋_GB2312" w:cs="仿宋_GB2312" w:eastAsia="仿宋_GB2312"/>
                <w:sz w:val="22"/>
              </w:rPr>
              <w:t>或办公桌面</w:t>
            </w:r>
            <w:r>
              <w:rPr>
                <w:rFonts w:ascii="仿宋_GB2312" w:hAnsi="仿宋_GB2312" w:cs="仿宋_GB2312" w:eastAsia="仿宋_GB2312"/>
                <w:sz w:val="22"/>
              </w:rPr>
              <w:t>）</w:t>
            </w:r>
            <w:r>
              <w:rPr>
                <w:rFonts w:ascii="仿宋_GB2312" w:hAnsi="仿宋_GB2312" w:cs="仿宋_GB2312" w:eastAsia="仿宋_GB2312"/>
                <w:sz w:val="22"/>
              </w:rPr>
              <w:t>两种使用方式，教学桌面开机无需账号直接进入桌面；个人桌面开机须输入账号密码进入桌面；管理台可控制允许终端进入的桌面类型，包括仅使用教学桌面，仅使用个人桌面，混合登录三种方式；</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8）支持桌面还原属性修改，桌面创建完成后，可随时在管理平台根据教学需求修改教学桌面还原属性，可单独分别为系统盘和数据盘设置每次还原，每天还原，每周还原、每月还原或不还原，也可对场景中的任意数量的桌面实现还原操作，满足教学桌面还原和考试环境数据保存等需求；</w:t>
            </w:r>
            <w:r>
              <w:rPr>
                <w:rFonts w:ascii="仿宋_GB2312" w:hAnsi="仿宋_GB2312" w:cs="仿宋_GB2312" w:eastAsia="仿宋_GB2312"/>
                <w:sz w:val="22"/>
                <w:b/>
              </w:rPr>
              <w:t>（此项需提供现场功能演示，供应商需提供演示视频）</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9）★支持在一个终端上通过一个账号密码，同时登录多个个人桌面，桌面可窗口化显示，可以拖动缩放,无需桌面切换即可同时使用不同桌面的场景；</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10）通过网页登录桌面或系统模板时，支持拖拽方式实现本地系统和虚拟桌面之间的文件上传和下载，便于数据文件的共享；</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11）★支持windows系统下的屏幕水印功能，可设置水印显示位置、字体大小、颜色、透明度，可设置显示内容，包括桌面计算机名，终端序号，桌面IP地址，MAC地址，还原方式等信息，还可自定义显示内容，进入系统后，桌面右上角可置顶显示设置的信息水印，便于管理员维护时快速查找对应的终端；</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12）★支持个人桌面镜像分层技术，可直接在管理平台设置分层空间大小，用于存储用户系统盘产生的数据；</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13）支持硬件虚拟化功能，开启后针对硬件识别码的软件可实现软件统一注册；</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14）★支持融合模板功能，可基于单个融合模板创建和更新对应的VDI/VOI/IDV桌面；</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15）支持模板分享链接，管理员可以将编辑模板的链接分享给需要编辑模板的其他管理员或老师，在浏览器中直接输入链接地址即可对模板进行编辑，支持分享日期、分享链接的失效期设置；</w:t>
            </w:r>
            <w:r>
              <w:rPr>
                <w:rFonts w:ascii="仿宋_GB2312" w:hAnsi="仿宋_GB2312" w:cs="仿宋_GB2312" w:eastAsia="仿宋_GB2312"/>
                <w:sz w:val="22"/>
                <w:b/>
              </w:rPr>
              <w:t>（此项需提供现场功能演示，供应商需提供演示视频）</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16）针对VDI/VOI/IDV三种桌面终端均可设置定时开关机计划，可按周期在固定时间唤醒和关闭对应的教学桌面终端，日期精确到天、时间精确到分钟，并可以指定开机的虚拟桌面范围；</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17）★支持在虚拟化平台上查看服务器和虚拟机的运行详细情况，包括服务器和虚拟桌面的CPU占用率、内存占用率、磁盘读写速度、网络流量、进程资源占用率；</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18）无需依赖第三方软件或脚本，即可在管理台编辑学期课表，可设置学期开始和结束时间、单双周安排、每节课起始时间，可直接将不同桌面拖拽到课表中，与各个课程时间对应，桌面环境根据课表时间自动启动；</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19</w:t>
            </w:r>
            <w:r>
              <w:rPr>
                <w:rFonts w:ascii="仿宋_GB2312" w:hAnsi="仿宋_GB2312" w:cs="仿宋_GB2312" w:eastAsia="仿宋_GB2312"/>
                <w:sz w:val="22"/>
              </w:rPr>
              <w:t>）</w:t>
            </w:r>
            <w:r>
              <w:rPr>
                <w:rFonts w:ascii="仿宋_GB2312" w:hAnsi="仿宋_GB2312" w:cs="仿宋_GB2312" w:eastAsia="仿宋_GB2312"/>
                <w:sz w:val="22"/>
              </w:rPr>
              <w:t>★为保证产品兼容性、便于维护与管理，要求与教学软件、学生终端为同一品牌，并提供相关软件的软件著作权复印件；</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0</w:t>
            </w:r>
            <w:r>
              <w:rPr>
                <w:rFonts w:ascii="仿宋_GB2312" w:hAnsi="仿宋_GB2312" w:cs="仿宋_GB2312" w:eastAsia="仿宋_GB2312"/>
                <w:sz w:val="22"/>
              </w:rPr>
              <w:t>）</w:t>
            </w:r>
            <w:r>
              <w:rPr>
                <w:rFonts w:ascii="仿宋_GB2312" w:hAnsi="仿宋_GB2312" w:cs="仿宋_GB2312" w:eastAsia="仿宋_GB2312"/>
                <w:sz w:val="22"/>
              </w:rPr>
              <w:t>★支持和现有平台进行对接，提供对接承诺函，若不能对接，额外提供不少于原平台点位数量的授权。</w:t>
            </w:r>
          </w:p>
          <w:p>
            <w:pPr>
              <w:pStyle w:val="null3"/>
              <w:ind w:firstLine="440"/>
              <w:jc w:val="both"/>
            </w:pPr>
            <w:r>
              <w:rPr>
                <w:rFonts w:ascii="仿宋_GB2312" w:hAnsi="仿宋_GB2312" w:cs="仿宋_GB2312" w:eastAsia="仿宋_GB2312"/>
                <w:sz w:val="22"/>
              </w:rPr>
              <w:t>10、教学管理软件</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1）支持IPV4、IPV6网络环境下安装和正常使用，支持windows7 32位/64位，windows10 64位、windows11 64位操作系统；</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2）支持对学生视图自定义命令和排序，便于学生未点名时，通过座位信息快速找到学生；</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3）支持考试功能，包括试题编辑、下发试卷、考试监控、成绩统计。可添加单选题、多选题、判断题、填空题、问答题；可设置考试时长，倒计时结束后自动结束考试。阅卷时，单选题、多选题、判断题支持自动评分和统计正确率</w:t>
            </w:r>
            <w:r>
              <w:rPr>
                <w:rFonts w:ascii="仿宋_GB2312" w:hAnsi="仿宋_GB2312" w:cs="仿宋_GB2312" w:eastAsia="仿宋_GB2312"/>
                <w:sz w:val="22"/>
              </w:rPr>
              <w:t>；</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4）支持影音广播，即使在终端未进入桌面的状态，也能够实现全体学生的影音广播，影音广播下支持视频的切换、暂停，并支持点击进度条任意地方以改变视频播放进度；</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5）教师可选定一个学生操作本机或操作教师机进行教学演示，并将该学生演示的画面广播给每一个学生；被广播的学生将全屏/窗口接收演示学生的画面，全屏状态键盘和鼠标被锁定；</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6）具备游戏互动教学功能，支持击鼓传花，电子抢答等互动方式；老师可对学生奖励小红花，显示每个学生的奖励数量，并可向学生发布奖励排行榜；</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7）支持作业下发，教师机可将自己机器上的文件传输到学生机，支持一对多传输，当选中多台学生机执行下发文件时，教师端需选择其中一台学生机作为样本机，并选择存放路径，支持发送文件或文件夹；</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8）支持收取作业，教师可发起作业提交，学生提交作业后自动收取，默认将收取上来的作业存放在桌面，该路径可自定义更换；作业命名方式支持学生自定义和教师自定义，教师自定义命名支持加入学生姓名、学号、学生机器名或学生机IP地址中的一种方式；支持一键收取指定路径的学生作业，弥补学生忘交作业和不会提交作业的缺点，提升老师收取作业的时效性；</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9）支持黑屏肃静，教师可对学生执行黑屏肃静操作，能够自定义黑屏肃静的提示信息，支持手动解锁、按时解锁、按时长解锁；屏幕广播支持区域广播方式，教师端可选取一块区域广播给学生机；</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10）教师机可以连续监看所选学生机屏幕，每屏可监视多个学生,可设置每屏学生机的数量以及学生机屏幕轮循的时间间隔；在屏幕广播之后连接上来的终端可直接接收屏幕广播内容，用户终端关闭虚拟桌面仍可同步广播教师机屏幕和视频，不会中断教学;</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11）可实现虚拟桌面环境下的屏幕广播，遥控监看，遥控转播，影音广播，行为管控，学生演示，在线考试，随堂测验，收发作业，电子白板；支持班级管理，可将频道和班级进行绑定，用于不同的教室登录不同的频道进行上课；支持屏幕广播功能，能够实现两种接收模式，包括学生全屏/窗口模式接收教师机广播的画面，全屏状态锁定学生鼠标和键盘；支持批量修改Windows用户登录名、计算机名和IP地址；</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12）支持远程命令（包括一键关闭应用程序，一键关闭学生打开的Windows 类窗口）、远程开机，远程关机等功能；</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13）支持遥控转播，教师端可对单个学生机进行遥控并转播到其它学生机桌面；支持遥控监看，教师可实时监看学生端的学生桌面，并可远程遥控学生端桌面，支持单屏控制和全体控制，控制时可锁定学生机；屏幕广播状态下，教师可开启实时语音，学生端可以通过耳机接听教师语音，同时支持屏幕笔功能，教师可通过屏幕笔将屏幕当做画板进行绘制；</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14）屏幕广播支持弹幕，教师机开启弹幕后，教师机和学生机可发送弹幕信息，便于及时交流；屏幕广播支持笔记截屏，教师机开启笔记截屏后，全屏广播时学生机可一键截取屏幕，保存上课重点信息；</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15）提供行为管控模块，支持程序黑白名单限制，支持禁用外网，禁用USB设备，教师端主界面可展示USB设备、程序、网络禁用状态；</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16）支持与云桌面接入授权融合打通，通过教学软件实现操作系统一键切换，可关闭云桌面服务器和学生机。</w:t>
            </w:r>
          </w:p>
          <w:p>
            <w:pPr>
              <w:pStyle w:val="null3"/>
              <w:ind w:firstLine="440"/>
              <w:jc w:val="both"/>
            </w:pPr>
            <w:r>
              <w:rPr>
                <w:rFonts w:ascii="仿宋_GB2312" w:hAnsi="仿宋_GB2312" w:cs="仿宋_GB2312" w:eastAsia="仿宋_GB2312"/>
                <w:sz w:val="22"/>
              </w:rPr>
              <w:t>11、可视化终端</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1）★显示尺寸不小于19英寸，画面比例不小于16：9；</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2）★分辨率不低于1920*1080，刷新率不低于60Hz；</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3）可视角度不低于178°（水平）；</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4）屏幕亮度不低于250nit，对比度不低于1000：1；</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产品应</w:t>
            </w:r>
            <w:r>
              <w:rPr>
                <w:rFonts w:ascii="仿宋_GB2312" w:hAnsi="仿宋_GB2312" w:cs="仿宋_GB2312" w:eastAsia="仿宋_GB2312"/>
                <w:sz w:val="22"/>
              </w:rPr>
              <w:t>通过低蓝光认证和</w:t>
            </w:r>
            <w:r>
              <w:rPr>
                <w:rFonts w:ascii="仿宋_GB2312" w:hAnsi="仿宋_GB2312" w:cs="仿宋_GB2312" w:eastAsia="仿宋_GB2312"/>
                <w:sz w:val="22"/>
              </w:rPr>
              <w:t>3C认证，投标时提供有效期内的证书扫描件。</w:t>
            </w:r>
          </w:p>
          <w:p>
            <w:pPr>
              <w:pStyle w:val="null3"/>
              <w:ind w:firstLine="440"/>
              <w:jc w:val="both"/>
            </w:pPr>
            <w:r>
              <w:rPr>
                <w:rFonts w:ascii="仿宋_GB2312" w:hAnsi="仿宋_GB2312" w:cs="仿宋_GB2312" w:eastAsia="仿宋_GB2312"/>
                <w:sz w:val="22"/>
              </w:rPr>
              <w:t>12、键鼠套装</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1）USB标准接口键盘，全尺寸不少于104键，有线连接即插即用；</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2）鼠标采用光学跟踪传感器，有线连接，具备3个按键和逐行滚动滚轮。</w:t>
            </w:r>
          </w:p>
          <w:p>
            <w:pPr>
              <w:pStyle w:val="null3"/>
              <w:ind w:firstLine="440"/>
              <w:jc w:val="both"/>
            </w:pPr>
            <w:r>
              <w:rPr>
                <w:rFonts w:ascii="仿宋_GB2312" w:hAnsi="仿宋_GB2312" w:cs="仿宋_GB2312" w:eastAsia="仿宋_GB2312"/>
                <w:sz w:val="22"/>
              </w:rPr>
              <w:t>13、交换机</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1）要求配置不少于24个下行端口，每个端口速率不低于1G；</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2）上行不少于2个高速端口；整个节点设备交换容量不低于670Gbps，包转发率不低于70Mpps，支持Web网管；</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3）支持VLAN、RSTP、GVRP、IGMP v1/v2/v3、OSPFv2、OSPFv3、QoS等协议。</w:t>
            </w:r>
          </w:p>
          <w:p>
            <w:pPr>
              <w:pStyle w:val="null3"/>
              <w:ind w:firstLine="440"/>
              <w:jc w:val="both"/>
            </w:pPr>
            <w:r>
              <w:rPr>
                <w:rFonts w:ascii="仿宋_GB2312" w:hAnsi="仿宋_GB2312" w:cs="仿宋_GB2312" w:eastAsia="仿宋_GB2312"/>
                <w:sz w:val="22"/>
              </w:rPr>
              <w:t>14、交换机机柜</w:t>
            </w:r>
          </w:p>
          <w:p>
            <w:pPr>
              <w:pStyle w:val="null3"/>
              <w:ind w:firstLine="440"/>
              <w:jc w:val="both"/>
            </w:pPr>
            <w:r>
              <w:rPr>
                <w:rFonts w:ascii="仿宋_GB2312" w:hAnsi="仿宋_GB2312" w:cs="仿宋_GB2312" w:eastAsia="仿宋_GB2312"/>
                <w:sz w:val="22"/>
              </w:rPr>
              <w:t>尺寸不小于</w:t>
            </w:r>
            <w:r>
              <w:rPr>
                <w:rFonts w:ascii="仿宋_GB2312" w:hAnsi="仿宋_GB2312" w:cs="仿宋_GB2312" w:eastAsia="仿宋_GB2312"/>
                <w:sz w:val="22"/>
              </w:rPr>
              <w:t>600mm*600mm*1100mm，配置10A PDU供电单元和散热单元。</w:t>
            </w:r>
          </w:p>
          <w:p>
            <w:pPr>
              <w:pStyle w:val="null3"/>
              <w:jc w:val="both"/>
            </w:pPr>
            <w:r>
              <w:rPr>
                <w:rFonts w:ascii="仿宋_GB2312" w:hAnsi="仿宋_GB2312" w:cs="仿宋_GB2312" w:eastAsia="仿宋_GB2312"/>
                <w:sz w:val="22"/>
                <w:b/>
              </w:rPr>
              <w:t>备注：</w:t>
            </w:r>
          </w:p>
          <w:p>
            <w:pPr>
              <w:pStyle w:val="null3"/>
              <w:ind w:firstLine="440"/>
              <w:jc w:val="both"/>
            </w:pPr>
            <w:r>
              <w:rPr>
                <w:rFonts w:ascii="仿宋_GB2312" w:hAnsi="仿宋_GB2312" w:cs="仿宋_GB2312" w:eastAsia="仿宋_GB2312"/>
                <w:sz w:val="22"/>
              </w:rPr>
              <w:t>1、本项目所有参数要求均须满足或优于谈判文件要求，“★项”必须</w:t>
            </w:r>
            <w:r>
              <w:rPr>
                <w:rFonts w:ascii="仿宋_GB2312" w:hAnsi="仿宋_GB2312" w:cs="仿宋_GB2312" w:eastAsia="仿宋_GB2312"/>
                <w:sz w:val="22"/>
              </w:rPr>
              <w:t>按参数中的要求</w:t>
            </w:r>
            <w:r>
              <w:rPr>
                <w:rFonts w:ascii="仿宋_GB2312" w:hAnsi="仿宋_GB2312" w:cs="仿宋_GB2312" w:eastAsia="仿宋_GB2312"/>
                <w:sz w:val="22"/>
              </w:rPr>
              <w:t>提供佐证材料（演示项除外），佐证材料形式可以为：产品功能截图或第三方检测机构测试报告复印件</w:t>
            </w:r>
            <w:r>
              <w:rPr>
                <w:rFonts w:ascii="仿宋_GB2312" w:hAnsi="仿宋_GB2312" w:cs="仿宋_GB2312" w:eastAsia="仿宋_GB2312"/>
                <w:sz w:val="22"/>
              </w:rPr>
              <w:t>，</w:t>
            </w:r>
            <w:r>
              <w:rPr>
                <w:rFonts w:ascii="仿宋_GB2312" w:hAnsi="仿宋_GB2312" w:cs="仿宋_GB2312" w:eastAsia="仿宋_GB2312"/>
                <w:sz w:val="22"/>
              </w:rPr>
              <w:t>并加盖公章</w:t>
            </w:r>
            <w:r>
              <w:rPr>
                <w:rFonts w:ascii="仿宋_GB2312" w:hAnsi="仿宋_GB2312" w:cs="仿宋_GB2312" w:eastAsia="仿宋_GB2312"/>
                <w:sz w:val="22"/>
              </w:rPr>
              <w:t>。</w:t>
            </w:r>
            <w:r>
              <w:rPr>
                <w:rFonts w:ascii="仿宋_GB2312" w:hAnsi="仿宋_GB2312" w:cs="仿宋_GB2312" w:eastAsia="仿宋_GB2312"/>
                <w:sz w:val="22"/>
              </w:rPr>
              <w:t>否则按无效文件处理。</w:t>
            </w:r>
          </w:p>
          <w:p>
            <w:pPr>
              <w:pStyle w:val="null3"/>
              <w:ind w:firstLine="440"/>
              <w:jc w:val="both"/>
            </w:pPr>
            <w:r>
              <w:rPr>
                <w:rFonts w:ascii="仿宋_GB2312" w:hAnsi="仿宋_GB2312" w:cs="仿宋_GB2312" w:eastAsia="仿宋_GB2312"/>
                <w:sz w:val="22"/>
              </w:rPr>
              <w:t>2、演示项（共</w:t>
            </w:r>
            <w:r>
              <w:rPr>
                <w:rFonts w:ascii="仿宋_GB2312" w:hAnsi="仿宋_GB2312" w:cs="仿宋_GB2312" w:eastAsia="仿宋_GB2312"/>
                <w:sz w:val="22"/>
              </w:rPr>
              <w:t>3</w:t>
            </w:r>
            <w:r>
              <w:rPr>
                <w:rFonts w:ascii="仿宋_GB2312" w:hAnsi="仿宋_GB2312" w:cs="仿宋_GB2312" w:eastAsia="仿宋_GB2312"/>
                <w:sz w:val="22"/>
              </w:rPr>
              <w:t>项）必须提供演示视频，不提供视为负偏离，按无效文件处理。</w:t>
            </w:r>
            <w:r>
              <w:rPr>
                <w:rFonts w:ascii="仿宋_GB2312" w:hAnsi="仿宋_GB2312" w:cs="仿宋_GB2312" w:eastAsia="仿宋_GB2312"/>
                <w:sz w:val="22"/>
              </w:rPr>
              <w:t>①每个供应商演示时间不超过15分钟。各供应商应在上述规定时间内完成演示内容。②现场演示采用腾讯视频会议形式与各供应商进行连线演示，请各供应商保持通信畅通，否则造成任何后果由各供应商自负。</w:t>
            </w:r>
          </w:p>
          <w:p>
            <w:pPr>
              <w:pStyle w:val="null3"/>
              <w:ind w:firstLine="442"/>
              <w:jc w:val="both"/>
            </w:pPr>
            <w:r>
              <w:rPr>
                <w:rFonts w:ascii="仿宋_GB2312" w:hAnsi="仿宋_GB2312" w:cs="仿宋_GB2312" w:eastAsia="仿宋_GB2312"/>
                <w:sz w:val="22"/>
                <w:b/>
              </w:rPr>
              <w:t>三、其他要求</w:t>
            </w:r>
          </w:p>
          <w:p>
            <w:pPr>
              <w:pStyle w:val="null3"/>
              <w:ind w:firstLine="440"/>
              <w:jc w:val="both"/>
            </w:pPr>
            <w:r>
              <w:rPr>
                <w:rFonts w:ascii="仿宋_GB2312" w:hAnsi="仿宋_GB2312" w:cs="仿宋_GB2312" w:eastAsia="仿宋_GB2312"/>
                <w:sz w:val="22"/>
              </w:rPr>
              <w:t>1、供货期要求：</w:t>
            </w:r>
          </w:p>
          <w:p>
            <w:pPr>
              <w:pStyle w:val="null3"/>
              <w:ind w:firstLine="440"/>
              <w:jc w:val="both"/>
            </w:pPr>
            <w:r>
              <w:rPr>
                <w:rFonts w:ascii="仿宋_GB2312" w:hAnsi="仿宋_GB2312" w:cs="仿宋_GB2312" w:eastAsia="仿宋_GB2312"/>
                <w:sz w:val="22"/>
              </w:rPr>
              <w:t>供货期：中标供应商应在合同签订后的</w:t>
            </w:r>
            <w:r>
              <w:rPr>
                <w:rFonts w:ascii="仿宋_GB2312" w:hAnsi="仿宋_GB2312" w:cs="仿宋_GB2312" w:eastAsia="仿宋_GB2312"/>
                <w:sz w:val="22"/>
              </w:rPr>
              <w:t>60个自然日内供货，并完成相关软硬件产品的运输、安装、调试、试运行。</w:t>
            </w:r>
          </w:p>
          <w:p>
            <w:pPr>
              <w:pStyle w:val="null3"/>
              <w:ind w:firstLine="440"/>
              <w:jc w:val="both"/>
            </w:pPr>
            <w:r>
              <w:rPr>
                <w:rFonts w:ascii="仿宋_GB2312" w:hAnsi="仿宋_GB2312" w:cs="仿宋_GB2312" w:eastAsia="仿宋_GB2312"/>
                <w:sz w:val="22"/>
              </w:rPr>
              <w:t>2、产品功能验证性要求：</w:t>
            </w:r>
          </w:p>
          <w:p>
            <w:pPr>
              <w:pStyle w:val="null3"/>
              <w:ind w:firstLine="440"/>
              <w:jc w:val="both"/>
            </w:pPr>
            <w:r>
              <w:rPr>
                <w:rFonts w:ascii="仿宋_GB2312" w:hAnsi="仿宋_GB2312" w:cs="仿宋_GB2312" w:eastAsia="仿宋_GB2312"/>
                <w:sz w:val="22"/>
              </w:rPr>
              <w:t>中标人在中标公示期限内需将中标产品提供给校方进行功能的逐一验证性测试，不符合招标文件要求的，按虚假应标处理。</w:t>
            </w:r>
          </w:p>
          <w:p>
            <w:pPr>
              <w:pStyle w:val="null3"/>
              <w:ind w:firstLine="440"/>
              <w:jc w:val="both"/>
            </w:pPr>
            <w:r>
              <w:rPr>
                <w:rFonts w:ascii="仿宋_GB2312" w:hAnsi="仿宋_GB2312" w:cs="仿宋_GB2312" w:eastAsia="仿宋_GB2312"/>
                <w:sz w:val="22"/>
              </w:rPr>
              <w:t>3</w:t>
            </w:r>
            <w:r>
              <w:rPr>
                <w:rFonts w:ascii="仿宋_GB2312" w:hAnsi="仿宋_GB2312" w:cs="仿宋_GB2312" w:eastAsia="仿宋_GB2312"/>
                <w:sz w:val="22"/>
              </w:rPr>
              <w:t>、售后服务要求：</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1）售后服务期限：供应商应对本项目中的所有硬件提供3年保修、所有软件3年保修升级服务。</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售后服务机构及服务团队构成：供应商应具有不少于1家完善的售后服务机构，投标时提供距离项目地最近的售后服务机构全称、有效经营地址、联系人、售后服务热线电话等信息；提供相关人员的身份证明材料、真实的联系方式、常驻地信息。</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3）售后服务响应时间及维护承诺：供应商需提供7×12小时远程技术服务。供应商在接到我单位电话报修后，应在1小时内进行远程技术响应服务；如远程技术服务无法解决问题的，供应商需派遣技术工程师在8小时内抵达现场、24小时内完成问题的解决；如24小时内仍无法解决的，供应商需在48小时内提供备用件、备用设备或备用系统，保障采购单位教学活动的正常进行，直至故障问题完全修复或解决。</w:t>
            </w:r>
          </w:p>
          <w:p>
            <w:pPr>
              <w:pStyle w:val="null3"/>
              <w:ind w:firstLine="440"/>
              <w:jc w:val="both"/>
            </w:pPr>
            <w:r>
              <w:rPr>
                <w:rFonts w:ascii="仿宋_GB2312" w:hAnsi="仿宋_GB2312" w:cs="仿宋_GB2312" w:eastAsia="仿宋_GB2312"/>
                <w:sz w:val="22"/>
              </w:rPr>
              <w:t>4</w:t>
            </w:r>
            <w:r>
              <w:rPr>
                <w:rFonts w:ascii="仿宋_GB2312" w:hAnsi="仿宋_GB2312" w:cs="仿宋_GB2312" w:eastAsia="仿宋_GB2312"/>
                <w:sz w:val="22"/>
              </w:rPr>
              <w:t>、培训要求</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1）为保障本项目设备更好服务于师生教学活动，要求中标供应商针对本项目的具体设备开展系统性培训，培训内容包括但不限于设备常用功能介绍、常见问题处理办法等，要求培训总时长不少于4课时。</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2）培训时间节点为完成项目设备、系统安装调试后的5个工作日内。</w:t>
            </w:r>
          </w:p>
          <w:p>
            <w:pPr>
              <w:pStyle w:val="null3"/>
              <w:ind w:firstLine="420"/>
              <w:jc w:val="both"/>
            </w:pPr>
            <w:r>
              <w:rPr>
                <w:rFonts w:ascii="仿宋_GB2312" w:hAnsi="仿宋_GB2312" w:cs="仿宋_GB2312" w:eastAsia="仿宋_GB2312"/>
                <w:sz w:val="22"/>
              </w:rPr>
              <w:t>（</w:t>
            </w:r>
            <w:r>
              <w:rPr>
                <w:rFonts w:ascii="仿宋_GB2312" w:hAnsi="仿宋_GB2312" w:cs="仿宋_GB2312" w:eastAsia="仿宋_GB2312"/>
                <w:sz w:val="22"/>
              </w:rPr>
              <w:t>3）配置的培训讲师不少于1人，培训讲师应具备系统集成项目管理工程师（中级）资格证书或更高级别的专业技术资格认证，拥有不少于5年项目实操经验。投标时需提供讲师身份证明文件、学历证明文件、投标人2026年</w:t>
            </w:r>
            <w:r>
              <w:rPr>
                <w:rFonts w:ascii="仿宋_GB2312" w:hAnsi="仿宋_GB2312" w:cs="仿宋_GB2312" w:eastAsia="仿宋_GB2312"/>
                <w:sz w:val="22"/>
              </w:rPr>
              <w:t>任意一个</w:t>
            </w:r>
            <w:r>
              <w:rPr>
                <w:rFonts w:ascii="仿宋_GB2312" w:hAnsi="仿宋_GB2312" w:cs="仿宋_GB2312" w:eastAsia="仿宋_GB2312"/>
                <w:sz w:val="22"/>
              </w:rPr>
              <w:t>月为其缴纳社保的证明材料、系统集成项目管理工程师（中级）资格证书或更高级别的专业技术资格认证证书扫描件。</w:t>
            </w:r>
          </w:p>
          <w:p>
            <w:pPr>
              <w:pStyle w:val="null3"/>
              <w:ind w:firstLine="420"/>
              <w:jc w:val="both"/>
            </w:pPr>
            <w:r>
              <w:rPr>
                <w:rFonts w:ascii="仿宋_GB2312" w:hAnsi="仿宋_GB2312" w:cs="仿宋_GB2312" w:eastAsia="仿宋_GB2312"/>
              </w:rPr>
              <w:t xml:space="preserve"> </w:t>
            </w:r>
          </w:p>
          <w:p>
            <w:pPr>
              <w:pStyle w:val="null3"/>
              <w:ind w:firstLine="420"/>
              <w:jc w:val="both"/>
            </w:pPr>
            <w:r>
              <w:rPr>
                <w:rFonts w:ascii="仿宋_GB2312" w:hAnsi="仿宋_GB2312" w:cs="仿宋_GB2312" w:eastAsia="仿宋_GB2312"/>
              </w:rPr>
              <w:t xml:space="preserve"> </w:t>
            </w:r>
          </w:p>
          <w:p>
            <w:pPr>
              <w:pStyle w:val="null3"/>
              <w:ind w:firstLine="420"/>
              <w:jc w:val="both"/>
            </w:pPr>
            <w:r>
              <w:rPr>
                <w:rFonts w:ascii="仿宋_GB2312" w:hAnsi="仿宋_GB2312" w:cs="仿宋_GB2312" w:eastAsia="仿宋_GB2312"/>
              </w:rPr>
              <w:t xml:space="preserve"> </w:t>
            </w:r>
          </w:p>
          <w:p>
            <w:pPr>
              <w:pStyle w:val="null3"/>
              <w:ind w:firstLine="420"/>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中标供应商应在合同签订后的60个自然日内供货，并完成相关软硬件产品的运输、安装、调试、试运行</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西安邮电大学指定地点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后，待货物到达指定地点、安装调试及最终验收合格后甲方向乙方支付货款。甲方付款前，乙方必须先行提供满足甲方要求的合法合规等额的增值税专用发票，否则甲方有权拒绝付款且不承担任何违约责任，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按照谈判文件、响应文件及合同要求执行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1、3年（质保期内，任何由制造商选材和制造不当引起的质量问题，成交供应商负责维修，不额外收费。质保期自验收签字之日起计算。） 2、成交供应商应在24小时内对用户的服务要求做出响应，一般问题在48小时内解决，重大问题或其它无法立刻解决的问题应在一周内解决或提出明确的解决方案。</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谈判保证金注意事项：（1）谈判保证金须从供应商户名支付，如从个人户名或非供应商户名支付，将被拒绝，视为自动放弃谈判权利（该个人是供应商的情形除外）；以保函形式交纳谈判保证金的，供应商应在响应截止时间前将保函扫描成清晰的PDF文件，发送至邮箱2559647209@qq.com（邮件命名：项目编号），并将保函原件单独递交至代理机构财务；供应商应在文件中附保函复印件。保函必须由具有开具谈判保函资格的单位开具；若供应商违约，开具保函单位承担连带责任；（2）谈判保证金的提交金额、时间不满足谈判文件要求的，谈判无效；（3）谈判保证金以采购代理机构到账凭证为准，供应商无需更换交纳凭证，由采购代理机构统一提供。未按指定账户提交的，我公司将退回，供应商须在文件递交截止时间前按照指定账户再次提交。 （4）未成交供应商的投标保证金，将在成交通知书发出后5个工作日内无息全额退还，但因供应商自身原因导致无法及时退还的除外。成交供应商的谈判保证金，在服务费足额到账3个工作日内或收到合同3个工作日内退还成交供应商保证金，但因供应商自身原因导致无法及时退还的除外。 2、根据法律规定成交公告只公布主要标的的名称、品牌、规格型号、数量、单价，本项目主要标的为：核心产品。 3.若项目后期涉及组织专家验收，则验收费用由成交供应商承担。 4.本项目落实《国务院办公厅关于在政府采购中实施本国产品标准及相关政策的通知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7月（含7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7月（含7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3供应商的资格证明材料.docx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2026年1月1日以来银行出具的资信证明（以上两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3供应商的资格证明材料.docx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3供应商的资格证明材料.docx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法定代表人参加谈判的，须提供法定代表人身份证；法定代表人授权本单位他人参加谈判的，须提供法定代表人授权委托书及被授权人身份证明及被授权人谈判截止前六个月内任意一个月（不含谈判当月）在本公司缴纳的社保证明。</w:t>
            </w:r>
          </w:p>
        </w:tc>
        <w:tc>
          <w:tcPr>
            <w:tcW w:type="dxa" w:w="1661"/>
          </w:tcPr>
          <w:p>
            <w:pPr>
              <w:pStyle w:val="null3"/>
            </w:pPr>
            <w:r>
              <w:rPr>
                <w:rFonts w:ascii="仿宋_GB2312" w:hAnsi="仿宋_GB2312" w:cs="仿宋_GB2312" w:eastAsia="仿宋_GB2312"/>
              </w:rPr>
              <w:t>3供应商的资格证明材料.docx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本项目不接受联合体谈判，不允许分包</w:t>
            </w:r>
          </w:p>
        </w:tc>
        <w:tc>
          <w:tcPr>
            <w:tcW w:type="dxa" w:w="3322"/>
          </w:tcPr>
          <w:p>
            <w:pPr>
              <w:pStyle w:val="null3"/>
            </w:pPr>
            <w:r>
              <w:rPr>
                <w:rFonts w:ascii="仿宋_GB2312" w:hAnsi="仿宋_GB2312" w:cs="仿宋_GB2312" w:eastAsia="仿宋_GB2312"/>
              </w:rPr>
              <w:t>本项目不接受联合体谈判，不允许分包。供应商应提供《非联合体不分包投标声明》。</w:t>
            </w:r>
          </w:p>
        </w:tc>
        <w:tc>
          <w:tcPr>
            <w:tcW w:type="dxa" w:w="1661"/>
          </w:tcPr>
          <w:p>
            <w:pPr>
              <w:pStyle w:val="null3"/>
            </w:pPr>
            <w:r>
              <w:rPr>
                <w:rFonts w:ascii="仿宋_GB2312" w:hAnsi="仿宋_GB2312" w:cs="仿宋_GB2312" w:eastAsia="仿宋_GB2312"/>
              </w:rPr>
              <w:t>3供应商的资格证明材料.docx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1分项价格表.docx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响应文件按照谈判文件规定要求签署、盖章的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满足谈判文件3.4商务要求中“交货时间、交货地点、支付约定、质量保修范围和保修期”的要求的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响应有效期满足谈判文件要求的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报价未超过谈判文件中规定的采购预算或最高限价的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无法律、法规和谈判文件规定的其他无效情形</w:t>
            </w:r>
          </w:p>
        </w:tc>
        <w:tc>
          <w:tcPr>
            <w:tcW w:type="dxa" w:w="1661"/>
          </w:tcPr>
          <w:p>
            <w:pPr>
              <w:pStyle w:val="null3"/>
            </w:pPr>
            <w:r>
              <w:rPr>
                <w:rFonts w:ascii="仿宋_GB2312" w:hAnsi="仿宋_GB2312" w:cs="仿宋_GB2312" w:eastAsia="仿宋_GB2312"/>
              </w:rPr>
              <w:t>6供应商认为需要提供的其他资料.docx 5技术响应与偏离表.docx 4承诺书.docx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详见附件：3供应商的资格证明材料.docx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详见附件：6供应商认为需要提供的其他资料.docx</w:t>
      </w:r>
    </w:p>
    <w:p>
      <w:pPr>
        <w:pStyle w:val="null3"/>
        <w:ind w:firstLine="960"/>
      </w:pPr>
      <w:r>
        <w:rPr>
          <w:rFonts w:ascii="仿宋_GB2312" w:hAnsi="仿宋_GB2312" w:cs="仿宋_GB2312" w:eastAsia="仿宋_GB2312"/>
        </w:rPr>
        <w:t>详见附件：1分项价格表.docx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