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版本号：ZBZB-SE20260629-31520260630001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宜君县2026年“三北”工程林草湿荒一体化保护修复项目（设计）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ZBZB-SE20260629-315</w:t>
      </w:r>
      <w:r>
        <w:br/>
      </w:r>
      <w:r>
        <w:br/>
      </w:r>
      <w:r>
        <w:br/>
      </w:r>
    </w:p>
    <w:p>
      <w:pPr>
        <w:pStyle w:val="null3"/>
        <w:jc w:val="center"/>
        <w:outlineLvl w:val="2"/>
      </w:pPr>
      <w:r>
        <w:rPr>
          <w:rFonts w:ascii="仿宋_GB2312" w:hAnsi="仿宋_GB2312" w:cs="仿宋_GB2312" w:eastAsia="仿宋_GB2312"/>
          <w:sz w:val="28"/>
          <w:b/>
        </w:rPr>
        <w:t>宜君县自然资源和林业局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宜君县自然资源和林业局</w:t>
      </w:r>
      <w:r>
        <w:rPr>
          <w:rFonts w:ascii="仿宋_GB2312" w:hAnsi="仿宋_GB2312" w:cs="仿宋_GB2312" w:eastAsia="仿宋_GB2312"/>
        </w:rPr>
        <w:t>委托，拟对</w:t>
      </w:r>
      <w:r>
        <w:rPr>
          <w:rFonts w:ascii="仿宋_GB2312" w:hAnsi="仿宋_GB2312" w:cs="仿宋_GB2312" w:eastAsia="仿宋_GB2312"/>
        </w:rPr>
        <w:t>宜君县2026年“三北”工程林草湿荒一体化保护修复项目（设计）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ZBZB-SE20260629-315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宜君县2026年“三北”工程林草湿荒一体化保护修复项目（设计）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宜君县2026年中央财政三北⼯程林草湿荒⼀体化保护修复项⽬，类型:退化林修复，规模:50000亩，范围:哭泉林场区域、棋盘林场区域、太安林场区域、阳湾林场区域。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采购包1（宜君县2026年“三北”工程林草湿荒一体化保护修复项目（设计））：属于专门面向中小企业采购。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2、财务状况报表：提供2024或2025年度经审计的财务报告或提交磋商截止时间之前六个月基本开户银行出具的资信证明;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5、声明书及承诺：（1）提供具有履行本合同所必需的设备和专业技术能力的承诺及说明；（2）出具参加政府采购活动前3年内在经营活动中没有重大违法记录的书面声明；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7、信用截图：供应商不得为“信用中国”网站(www.creditchina.gov.cn)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8、企业资质：供应商须具有建设主管部门颁发的工程设计综合甲级资质；或农林行业(林业工程)乙级及以上(含乙级)设计资质；或工程设计专业资质农林行业营造林工程乙级及以上(含乙级)设计资质；或具有林业调查规划设计乙级(含乙级)及以上资。</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宜君县自然资源和林业局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宜君县人社大楼七楼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宜君县自然资源和林业局经办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13571415915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陕西省西安市碑林区陕西省西安市碑林区长安国际中心F座办公楼19楼05单元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15934838962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宜君县自然资源和林业局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宜君县自然资源和林业局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宜君县自然资源和林业局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卖⽅应保证，买⽅在使⽤该产品或产品的任何⼀部分，免受第三⽅提出的侵犯（其专 利权）、商标权、著作权或其它知识产权的纠纷</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w:t>
      </w:r>
    </w:p>
    <w:p>
      <w:pPr>
        <w:pStyle w:val="null3"/>
      </w:pPr>
      <w:r>
        <w:rPr>
          <w:rFonts w:ascii="仿宋_GB2312" w:hAnsi="仿宋_GB2312" w:cs="仿宋_GB2312" w:eastAsia="仿宋_GB2312"/>
        </w:rPr>
        <w:t>联系电话：15934838962</w:t>
      </w:r>
    </w:p>
    <w:p>
      <w:pPr>
        <w:pStyle w:val="null3"/>
      </w:pPr>
      <w:r>
        <w:rPr>
          <w:rFonts w:ascii="仿宋_GB2312" w:hAnsi="仿宋_GB2312" w:cs="仿宋_GB2312" w:eastAsia="仿宋_GB2312"/>
        </w:rPr>
        <w:t>地址：陕西省西安市碑林区陕西省西安市碑林区长安国际中心F座办公楼19楼05单元</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宜君县2026年中央财政三北工程林草湿荒一体化保护修复项目，类型:退化林修复，规模:50000亩，范围:哭泉林场区域、棋盘林场区域、太安林场区域、阳湾林场区域。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宜君县2026年“三北”工程林草湿荒一体化保护修复项目（设计）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标的名称：宜君县2026年“三北”工程林草湿荒一体化保护修复项目（设计）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一、建设项目概况：</w:t>
            </w:r>
          </w:p>
          <w:p>
            <w:pPr>
              <w:pStyle w:val="null3"/>
              <w:ind w:firstLine="560"/>
              <w:jc w:val="both"/>
            </w:pPr>
            <w:r>
              <w:rPr>
                <w:rFonts w:ascii="仿宋_GB2312" w:hAnsi="仿宋_GB2312" w:cs="仿宋_GB2312" w:eastAsia="仿宋_GB2312"/>
                <w:sz w:val="28"/>
              </w:rPr>
              <w:t>宜君县</w:t>
            </w:r>
            <w:r>
              <w:rPr>
                <w:rFonts w:ascii="仿宋_GB2312" w:hAnsi="仿宋_GB2312" w:cs="仿宋_GB2312" w:eastAsia="仿宋_GB2312"/>
                <w:sz w:val="28"/>
              </w:rPr>
              <w:t>2026年中央财政三北工程林草湿荒一体化保护修复项目，类型:退化林修复，规模:50000亩</w:t>
            </w:r>
            <w:r>
              <w:rPr>
                <w:rFonts w:ascii="仿宋_GB2312" w:hAnsi="仿宋_GB2312" w:cs="仿宋_GB2312" w:eastAsia="仿宋_GB2312"/>
                <w:sz w:val="28"/>
              </w:rPr>
              <w:t>，</w:t>
            </w:r>
            <w:r>
              <w:rPr>
                <w:rFonts w:ascii="仿宋_GB2312" w:hAnsi="仿宋_GB2312" w:cs="仿宋_GB2312" w:eastAsia="仿宋_GB2312"/>
                <w:sz w:val="28"/>
              </w:rPr>
              <w:t>范围</w:t>
            </w:r>
            <w:r>
              <w:rPr>
                <w:rFonts w:ascii="仿宋_GB2312" w:hAnsi="仿宋_GB2312" w:cs="仿宋_GB2312" w:eastAsia="仿宋_GB2312"/>
                <w:sz w:val="28"/>
              </w:rPr>
              <w:t>:哭泉林场区域、棋盘林场</w:t>
            </w:r>
            <w:r>
              <w:rPr>
                <w:rFonts w:ascii="仿宋_GB2312" w:hAnsi="仿宋_GB2312" w:cs="仿宋_GB2312" w:eastAsia="仿宋_GB2312"/>
                <w:sz w:val="28"/>
              </w:rPr>
              <w:t>区域</w:t>
            </w:r>
            <w:r>
              <w:rPr>
                <w:rFonts w:ascii="仿宋_GB2312" w:hAnsi="仿宋_GB2312" w:cs="仿宋_GB2312" w:eastAsia="仿宋_GB2312"/>
                <w:sz w:val="28"/>
              </w:rPr>
              <w:t>、太安林场</w:t>
            </w:r>
            <w:r>
              <w:rPr>
                <w:rFonts w:ascii="仿宋_GB2312" w:hAnsi="仿宋_GB2312" w:cs="仿宋_GB2312" w:eastAsia="仿宋_GB2312"/>
                <w:sz w:val="28"/>
              </w:rPr>
              <w:t>区域</w:t>
            </w:r>
            <w:r>
              <w:rPr>
                <w:rFonts w:ascii="仿宋_GB2312" w:hAnsi="仿宋_GB2312" w:cs="仿宋_GB2312" w:eastAsia="仿宋_GB2312"/>
                <w:sz w:val="28"/>
              </w:rPr>
              <w:t>、阳湾林场</w:t>
            </w:r>
            <w:r>
              <w:rPr>
                <w:rFonts w:ascii="仿宋_GB2312" w:hAnsi="仿宋_GB2312" w:cs="仿宋_GB2312" w:eastAsia="仿宋_GB2312"/>
                <w:sz w:val="28"/>
              </w:rPr>
              <w:t>区域</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b/>
              </w:rPr>
              <w:t>二、设计依据</w:t>
            </w:r>
            <w:r>
              <w:rPr>
                <w:rFonts w:ascii="仿宋_GB2312" w:hAnsi="仿宋_GB2312" w:cs="仿宋_GB2312" w:eastAsia="仿宋_GB2312"/>
                <w:sz w:val="28"/>
              </w:rPr>
              <w:t>：《</w:t>
            </w:r>
            <w:r>
              <w:rPr>
                <w:rFonts w:ascii="仿宋_GB2312" w:hAnsi="仿宋_GB2312" w:cs="仿宋_GB2312" w:eastAsia="仿宋_GB2312"/>
                <w:sz w:val="28"/>
              </w:rPr>
              <w:t>中华人民共和国森林法》</w:t>
            </w:r>
            <w:r>
              <w:rPr>
                <w:rFonts w:ascii="仿宋_GB2312" w:hAnsi="仿宋_GB2312" w:cs="仿宋_GB2312" w:eastAsia="仿宋_GB2312"/>
                <w:sz w:val="28"/>
              </w:rPr>
              <w:t>(2020年7月1日施行)《中华人民共和国森林法实施条例》(2018年)《中华人民共和国森林防火条例》(2009)《中华人民共和国森林病虫害防治条例》(1989年)《国家级公益林管理办法》(2017年)《天然林保护修复制度方案》(2019年)《防护林造林工程投资估算标准》(2016年)《造林技术规程》(GB/T15776-2023)《造林作业设计规程》(LY/T1607-2024)《退化林修复技术规程》(GB/T44351—2024)《低效林改造技术规程》(LY/T1690-2017)《森林抚育规程》(GB/T15781-2015)《森林资源规划设计调查技术规程》(GB/T26424-2010)《防护林造林工程投资估算指标》国家林业局(林规发(2016)58号)《造林绿化落地上图技术规范》(国家林业和草原局办公室、自然资源部办公厅，2021年10月)《森林草原资源培育工程中央预算内投资专项管理办法》《陕西省造林技术规范》(DB61/T142-2021)《陕西省主要造林树种苗木质量分级》(DB61/T378-2006)《关于做好森林质量提升工作的指导意见》(陕西省林业局，2020年3月)《封山(沙)育林技术规程》(GB/T15163-2018)《天然林资源保护工程文件汇编》《陕西省人工造林技术经济指标》国家与地方现行林业技术经济指标。</w:t>
            </w:r>
          </w:p>
          <w:p>
            <w:pPr>
              <w:pStyle w:val="null3"/>
              <w:ind w:firstLine="560"/>
            </w:pPr>
            <w:r>
              <w:rPr>
                <w:rFonts w:ascii="仿宋_GB2312" w:hAnsi="仿宋_GB2312" w:cs="仿宋_GB2312" w:eastAsia="仿宋_GB2312"/>
                <w:sz w:val="28"/>
                <w:b/>
              </w:rPr>
              <w:t>三、</w:t>
            </w:r>
            <w:r>
              <w:rPr>
                <w:rFonts w:ascii="仿宋_GB2312" w:hAnsi="仿宋_GB2312" w:cs="仿宋_GB2312" w:eastAsia="仿宋_GB2312"/>
                <w:sz w:val="28"/>
                <w:b/>
              </w:rPr>
              <w:t>成果文件</w:t>
            </w:r>
            <w:r>
              <w:rPr>
                <w:rFonts w:ascii="仿宋_GB2312" w:hAnsi="仿宋_GB2312" w:cs="仿宋_GB2312" w:eastAsia="仿宋_GB2312"/>
                <w:sz w:val="28"/>
              </w:rPr>
              <w:t>：</w:t>
            </w:r>
          </w:p>
          <w:p>
            <w:pPr>
              <w:pStyle w:val="null3"/>
              <w:spacing w:after="120"/>
              <w:ind w:left="765"/>
              <w:jc w:val="both"/>
            </w:pPr>
            <w:r>
              <w:rPr>
                <w:rFonts w:ascii="仿宋_GB2312" w:hAnsi="仿宋_GB2312" w:cs="仿宋_GB2312" w:eastAsia="仿宋_GB2312"/>
                <w:sz w:val="28"/>
              </w:rPr>
              <w:t>(1)成果文件的组成：作业设计报告及图册；</w:t>
            </w:r>
          </w:p>
          <w:p>
            <w:pPr>
              <w:pStyle w:val="null3"/>
              <w:spacing w:after="120"/>
              <w:ind w:left="45" w:right="405" w:firstLine="730"/>
              <w:jc w:val="both"/>
            </w:pPr>
            <w:r>
              <w:rPr>
                <w:rFonts w:ascii="仿宋_GB2312" w:hAnsi="仿宋_GB2312" w:cs="仿宋_GB2312" w:eastAsia="仿宋_GB2312"/>
                <w:sz w:val="28"/>
              </w:rPr>
              <w:t>(2)成果文件的深度：达到国家及行业和地方现行技术规范和技术标准要求。</w:t>
            </w:r>
          </w:p>
          <w:p>
            <w:pPr>
              <w:pStyle w:val="null3"/>
              <w:spacing w:after="120"/>
              <w:ind w:right="330" w:firstLine="770"/>
              <w:jc w:val="both"/>
            </w:pPr>
            <w:r>
              <w:rPr>
                <w:rFonts w:ascii="仿宋_GB2312" w:hAnsi="仿宋_GB2312" w:cs="仿宋_GB2312" w:eastAsia="仿宋_GB2312"/>
                <w:sz w:val="28"/>
              </w:rPr>
              <w:t>(3)成果文件的格式要求：文字内容可采用PDF格式文件，设计图形文件采用PDF格式文件，全部设计成果均应制作成计算机文件，刻入U盘。</w:t>
            </w:r>
          </w:p>
          <w:p>
            <w:pPr>
              <w:pStyle w:val="null3"/>
              <w:spacing w:after="120"/>
              <w:ind w:right="375" w:firstLine="770"/>
              <w:jc w:val="both"/>
            </w:pPr>
            <w:r>
              <w:rPr>
                <w:rFonts w:ascii="仿宋_GB2312" w:hAnsi="仿宋_GB2312" w:cs="仿宋_GB2312" w:eastAsia="仿宋_GB2312"/>
                <w:sz w:val="28"/>
              </w:rPr>
              <w:t>(4)成果文件的份数要求：提交设计成果文件10份，电子版2份；</w:t>
            </w:r>
          </w:p>
          <w:p>
            <w:pPr>
              <w:pStyle w:val="null3"/>
              <w:spacing w:after="120"/>
              <w:ind w:left="810"/>
              <w:jc w:val="both"/>
            </w:pPr>
            <w:r>
              <w:rPr>
                <w:rFonts w:ascii="仿宋_GB2312" w:hAnsi="仿宋_GB2312" w:cs="仿宋_GB2312" w:eastAsia="仿宋_GB2312"/>
                <w:sz w:val="28"/>
              </w:rPr>
              <w:t>(5)成果文件的载体要求：</w:t>
            </w:r>
          </w:p>
          <w:p>
            <w:pPr>
              <w:pStyle w:val="null3"/>
              <w:spacing w:after="120"/>
              <w:ind w:right="285" w:firstLine="659"/>
              <w:jc w:val="both"/>
            </w:pPr>
            <w:r>
              <w:rPr>
                <w:rFonts w:ascii="仿宋_GB2312" w:hAnsi="仿宋_GB2312" w:cs="仿宋_GB2312" w:eastAsia="仿宋_GB2312"/>
                <w:sz w:val="28"/>
              </w:rPr>
              <w:t>1)纸质版的要求：A3标准图纸打印。</w:t>
            </w:r>
          </w:p>
          <w:p>
            <w:pPr>
              <w:pStyle w:val="null3"/>
              <w:spacing w:after="120"/>
              <w:ind w:right="285" w:firstLine="659"/>
              <w:jc w:val="both"/>
            </w:pPr>
            <w:r>
              <w:rPr>
                <w:rFonts w:ascii="仿宋_GB2312" w:hAnsi="仿宋_GB2312" w:cs="仿宋_GB2312" w:eastAsia="仿宋_GB2312"/>
                <w:sz w:val="28"/>
              </w:rPr>
              <w:t>2)电子版的要求：U盘。</w:t>
            </w:r>
          </w:p>
          <w:p>
            <w:pPr>
              <w:pStyle w:val="null3"/>
              <w:spacing w:after="120"/>
              <w:ind w:right="285" w:firstLine="659"/>
              <w:jc w:val="both"/>
            </w:pPr>
            <w:r>
              <w:rPr>
                <w:rFonts w:ascii="仿宋_GB2312" w:hAnsi="仿宋_GB2312" w:cs="仿宋_GB2312" w:eastAsia="仿宋_GB2312"/>
                <w:sz w:val="28"/>
                <w:b/>
              </w:rPr>
              <w:t>四、质量要求</w:t>
            </w:r>
            <w:r>
              <w:rPr>
                <w:rFonts w:ascii="仿宋_GB2312" w:hAnsi="仿宋_GB2312" w:cs="仿宋_GB2312" w:eastAsia="仿宋_GB2312"/>
                <w:sz w:val="28"/>
              </w:rPr>
              <w:t>：需符合国家及行业和地方技术规范和技术标准要求。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质量要求：需符合国家及行业和地方技术规范和技术标准要求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15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完成交付，委托组织人员验收，并填签收单。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进度款，项目所有内容完成并设计成果资料通过专家审查合格，并经相关主管部门批复，达到付款条件起10个工作日内，支付合同总金额的100.0%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提供2024或2025年度经审计的财务报告或提交磋商截止时间之前六个月基本开户银行出具的资信证明;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声明书及承诺</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主管部门颁发的工程设计综合甲级资质；或农林行业(林业工程)乙级及以上(含乙级)设计资质；或工程设计专业资质农林行业营造林工程乙级及以上(含乙级)设计资质；或具有林业调查规划设计乙级(含乙级)及以上资。</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响应文件封面 商务应答表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符合“响应⽂件格式”要求。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服务期及质量要求</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一、评审内容：提出针对于本项目的实施方案，方案内容包含：①设计思路及范围②项目整体设计方案③设计依据、设计工作目标④进度保障⑤成果审核等方案措施。 二、评审标准 1、完整性：内容全面、详尽； 2、可实施性：切合本项目实际情况，实施步骤清晰、合理，可实施性强； 3、针对性：方案能够紧扣项目实际情况，内容科学合理，针对性强。 三、赋分标准（满分15分）评审标准每缺⼀项扣3分，扣完为⽌；评审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造价控制、后续服务承诺及廉洁、保密、合同、档案、资料等管理</w:t>
            </w:r>
          </w:p>
        </w:tc>
        <w:tc>
          <w:tcPr>
            <w:tcW w:type="dxa" w:w="2492"/>
          </w:tcPr>
          <w:p>
            <w:pPr>
              <w:pStyle w:val="null3"/>
            </w:pPr>
            <w:r>
              <w:rPr>
                <w:rFonts w:ascii="仿宋_GB2312" w:hAnsi="仿宋_GB2312" w:cs="仿宋_GB2312" w:eastAsia="仿宋_GB2312"/>
              </w:rPr>
              <w:t>一、评审内容：提出针对于本项目的造价控制、合理化建议及廉洁、保密措施，方案内容包含：①造价控制措施、②后续服务承诺（包括对后期设计变更、配合后期落地上图、预算编制等配合的承诺）、③廉洁、保密等方案措施、④合同、档案、资料等管理。 二、评审标准 1、完整性：内容全面、详尽； 2、可实施性：切合本项目实际情况，实施步骤清晰、合理，可实施性强； 3、针对性：方案能够紧扣项目实际情况，内容科学合理，针对性强。 三、赋分标准（满分12分）评审标准每缺⼀项扣3分，扣完为⽌；评审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一、评审内容：提出针对于本项目的质量方案及保证措施，方案内容包含：①质量管理方案②质量保证措施。 二、评审标准 1、完整性：内容全面、详尽； 2、可实施性：切合本项目实际情况，实施步骤清晰、合理，可实施性强； 3、针对性：方案能够紧扣项目实际情况，内容科学合理，针对性强。 三、赋分标准（满分7分）评审标准每缺⼀项扣3.5分，扣完为⽌；评审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设计工作重点、难点分析及合理化建议</w:t>
            </w:r>
          </w:p>
        </w:tc>
        <w:tc>
          <w:tcPr>
            <w:tcW w:type="dxa" w:w="2492"/>
          </w:tcPr>
          <w:p>
            <w:pPr>
              <w:pStyle w:val="null3"/>
            </w:pPr>
            <w:r>
              <w:rPr>
                <w:rFonts w:ascii="仿宋_GB2312" w:hAnsi="仿宋_GB2312" w:cs="仿宋_GB2312" w:eastAsia="仿宋_GB2312"/>
              </w:rPr>
              <w:t>一、评审内容：提出针对本项目设计工作重点、难点分析及合理化建议，方案内容包含：①对工作重点、难点理解及分析②提出解决方案及合理化建议。 二、评审标准 1、完整性：内容全面、详尽； 2、可实施性：切合本项目实际情况，实施步骤清晰、合理，可实施性强； 3、针对性：方案能够紧扣项目实际情况，内容科学合理，针对性强。 三、赋分标准（满分6分）评审标准每缺⼀项扣3分，扣完为⽌；评审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服务团队⼈员每具有⼀个林业相关专业中级职称得3分，林业⾼级职称得5分，本项最多得20分。需提供职称证，未提供不得分。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供应商提供2023年1月1日（含1日）类似项目业绩。林业设计类业绩每提供一个得5分，最高20分。业绩需提供中标通知书或者合同的复印件，时间以合同签订时间为准，未提供或提供不全的不得分。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（即20%）×100（保留小数点后两位）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