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版本号：ZX2026-06-8420260707001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“一站式”智慧学工平台建设项目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ZX2026-06-84</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“一站式”智慧学工平台建设项目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ZX2026-06-84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“一站式”智慧学工平台建设项目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本项目为“一站式”智慧学工平台建设项目，1项。具体内容详见磋商文件第三章。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王琦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采购包1保证金金额：10,684.00元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说明：供应商成交后凭成交通知书向采购人缴纳预算金额的5%作为履约保证金，待合同履约完毕后，5%履约保证金一次性无息退还。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代理服务费收费标准：参照国家计委计价格〔2002〕1980号及发改办价格〔2003〕857号通知规定按成交金额的77.5%计取，由成交供应商支付代理服务费。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依据磋商文件、磋商响应文件及合同内容。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依据磋商文件、磋商响应文件及合同内容。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联系人：孙童欣 胡怡洁</w:t>
      </w:r>
    </w:p>
    <w:p>
      <w:pPr>
        <w:pStyle w:val="null3"/>
      </w:pPr>
      <w:r>
        <w:rPr>
          <w:rFonts w:ascii="仿宋_GB2312" w:hAnsi="仿宋_GB2312" w:cs="仿宋_GB2312" w:eastAsia="仿宋_GB2312"/>
        </w:rPr>
        <w:t>联系电话：邮箱：1053910307@qq.com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本项目为“一站式”智慧学工平台建设项目。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“一站式”智慧学工平台建设项目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标的名称：“一站式”智慧学工平台建设项目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w:t>
            </w:r>
            <w:r>
              <w:rPr>
                <w:rFonts w:ascii="仿宋_GB2312" w:hAnsi="仿宋_GB2312" w:cs="仿宋_GB2312" w:eastAsia="仿宋_GB2312"/>
                <w:sz w:val="24"/>
              </w:rPr>
              <w:t>系统建设清单及要求</w:t>
            </w:r>
          </w:p>
          <w:tbl>
            <w:tblPr>
              <w:tblBorders>
                <w:top w:val="none" w:color="000000" w:sz="4"/>
                <w:left w:val="none" w:color="000000" w:sz="4"/>
                <w:bottom w:val="none" w:color="000000" w:sz="4"/>
                <w:right w:val="none" w:color="000000" w:sz="4"/>
                <w:insideH w:val="none"/>
                <w:insideV w:val="none"/>
              </w:tblBorders>
            </w:tblPr>
            <w:tblGrid>
              <w:gridCol w:w="195"/>
              <w:gridCol w:w="414"/>
              <w:gridCol w:w="515"/>
              <w:gridCol w:w="1415"/>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一级模块</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二级模块</w:t>
                  </w:r>
                </w:p>
              </w:tc>
              <w:tc>
                <w:tcPr>
                  <w:tcW w:type="dxa" w:w="1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系统功能描述（确定性要求）</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分级驾驶舱</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校级工作台</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实现校领导、学工部级领导视角，饼状图</w:t>
                  </w:r>
                  <w:r>
                    <w:rPr>
                      <w:rFonts w:ascii="仿宋_GB2312" w:hAnsi="仿宋_GB2312" w:cs="仿宋_GB2312" w:eastAsia="仿宋_GB2312"/>
                      <w:sz w:val="24"/>
                    </w:rPr>
                    <w:t>/柱状图/折线图/环形比例图展示学生安全、发展、资助、政工队伍、住宿等数据。所有数据实时从业务中抽取，支持向下钻取至学院级。</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学院领导工作台</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实现学院副书记及院长视角，集中展示当月工作月历、学生整体统计、班级人数、辅导员工作完成情况、学工处通知、待办事宜、消息提醒。</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辅导员工作台</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实现辅导员所带班级学生整体情况、五育发展、党团建设、重点关注学生明示、待办帮扶任务。系统主动推送需重点关注学生名单并生成帮扶记录。</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日常管理</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学生基本信息</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电脑端和手机端提供基本信息填报、审核、修改、质量分析、校外经历登记。支持老师按自定义维度统计，手机端支持学生修改后老师审核。</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学生信息查询</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学校及院系管理老师可查询指定学生在校综合表现（跨业务综合查询），并支持自定义维度统计分析。</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违纪处分</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实现处分类别设置、处分解除申请及审核、查询统计；学生手机端可查看本人处分记录并在线提交解除申请。</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学生请假</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实现多类型请假流程自定义（含定位销假、班长销假），学生手机端申请、老师手机端审核，自动生成请假数据统计报表。</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节假日离返校</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实现学生手机端登记去向、预计返校日期、紧急联系人；老师电脑端汇总打印去向明细，支持一键统计返校情况，延期返校登记。</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通知助手</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实现面向学生的通知发布，可设置发送对象，实时显示已读</w:t>
                  </w:r>
                  <w:r>
                    <w:rPr>
                      <w:rFonts w:ascii="仿宋_GB2312" w:hAnsi="仿宋_GB2312" w:cs="仿宋_GB2312" w:eastAsia="仿宋_GB2312"/>
                      <w:sz w:val="24"/>
                    </w:rPr>
                    <w:t>/未读名单（电脑端及手机端同步）。</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签到助手</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实现动态二维码</w:t>
                  </w:r>
                  <w:r>
                    <w:rPr>
                      <w:rFonts w:ascii="仿宋_GB2312" w:hAnsi="仿宋_GB2312" w:cs="仿宋_GB2312" w:eastAsia="仿宋_GB2312"/>
                      <w:sz w:val="24"/>
                    </w:rPr>
                    <w:t>/静态二维码/拍照+定位三种签到方式，老师电脑端发起，学生手机端完成签到，自动生成签到统计。</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问卷调查</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实现学工处及辅导员发布问卷，学生手机端填写，系统自动生成统计结果并支持导出。</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活动场地预约</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实现场地管理、预约、审核（电脑</w:t>
                  </w:r>
                  <w:r>
                    <w:rPr>
                      <w:rFonts w:ascii="仿宋_GB2312" w:hAnsi="仿宋_GB2312" w:cs="仿宋_GB2312" w:eastAsia="仿宋_GB2312"/>
                      <w:sz w:val="24"/>
                    </w:rPr>
                    <w:t>+手机），自动冲突检测，生成场地使用统计报表。</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校园活动</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实现活动发布、报名、签到（二维码</w:t>
                  </w:r>
                  <w:r>
                    <w:rPr>
                      <w:rFonts w:ascii="仿宋_GB2312" w:hAnsi="仿宋_GB2312" w:cs="仿宋_GB2312" w:eastAsia="仿宋_GB2312"/>
                      <w:sz w:val="24"/>
                    </w:rPr>
                    <w:t>/定位/手动）、活动评价，支持手机端报名及签到，自动统计参与人数。</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综合测评与评奖评优</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荣誉称号</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实现荣誉称号种类维护、一键申请、投票评分、公示、审核（电脑</w:t>
                  </w:r>
                  <w:r>
                    <w:rPr>
                      <w:rFonts w:ascii="仿宋_GB2312" w:hAnsi="仿宋_GB2312" w:cs="仿宋_GB2312" w:eastAsia="仿宋_GB2312"/>
                      <w:sz w:val="24"/>
                    </w:rPr>
                    <w:t>+手机），系统自动校验申请资格。</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综合测评</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完全定制化产品：实现综合测评方案设置、附加分管理、自评、小组评分、系统自动计算成绩。必须开发</w:t>
                  </w:r>
                  <w:r>
                    <w:rPr>
                      <w:rFonts w:ascii="仿宋_GB2312" w:hAnsi="仿宋_GB2312" w:cs="仿宋_GB2312" w:eastAsia="仿宋_GB2312"/>
                      <w:sz w:val="24"/>
                    </w:rPr>
                    <w:t>“学风银行”模块，实现学生课堂出勤、作业完成、学术诚信等学风积分存入/支取，并与综合素质测评成绩自动融合计算。提供学风积分规则配置引擎。</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奖学金</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实现奖学金种类维护、不可兼得规则、批次管理、一键申请、公示、手机端审核与查询。</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学生画像</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学生个人画像</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基于校内多源数据（教务、一卡通、宿管等）自动生成学生五育发展报告（德智体美劳），并展示奖惩、资助、日常生活、团学等成长轨迹数据。</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一站式育人记录</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学生社区基础数据看板</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提供大屏看板、楼栋管理、领导深入社区记录、社区人员管理、党团组织及学生自我组织管理。</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心理咨询</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心理咨询</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实现咨询师管理、预约管理（学生手机端预约）、心理档案、心理月报、重点关注学生管理。</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资助服务</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困难生</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实现困难生申请（手机端）、三种辅助认定方式（问卷调查等）、审核、受助情况统计。</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助学金</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实现助学金种类维护、批次管理、一键申请、公示、手机端审核。</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勤工助学</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实现用工单位岗位发布、学生手机端申请、薪酬预算提报、薪酬发放查询。</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助学贷款</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实现校园地贷款申请</w:t>
                  </w:r>
                  <w:r>
                    <w:rPr>
                      <w:rFonts w:ascii="仿宋_GB2312" w:hAnsi="仿宋_GB2312" w:cs="仿宋_GB2312" w:eastAsia="仿宋_GB2312"/>
                      <w:sz w:val="24"/>
                    </w:rPr>
                    <w:t>/审核/还款管理、生源地贷款信息登记，学生手机端查看放款还款记录。</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困难补助</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实现困难补助种类维护、申请、审核、公示、发放管理。</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代偿</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实现基层就业代偿、义务兵代偿申请与审核（电脑</w:t>
                  </w:r>
                  <w:r>
                    <w:rPr>
                      <w:rFonts w:ascii="仿宋_GB2312" w:hAnsi="仿宋_GB2312" w:cs="仿宋_GB2312" w:eastAsia="仿宋_GB2312"/>
                      <w:sz w:val="24"/>
                    </w:rPr>
                    <w:t>+手机）。</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移动端集成</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西科</w:t>
                  </w:r>
                  <w:r>
                    <w:rPr>
                      <w:rFonts w:ascii="仿宋_GB2312" w:hAnsi="仿宋_GB2312" w:cs="仿宋_GB2312" w:eastAsia="仿宋_GB2312"/>
                      <w:sz w:val="24"/>
                    </w:rPr>
                    <w:t>E站模块拆分</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将上述所有学生常用模块（请假、签到、问卷、活动、心理咨询预约、困难生申请等）拆分成为独立入口，集成进入</w:t>
                  </w:r>
                  <w:r>
                    <w:rPr>
                      <w:rFonts w:ascii="仿宋_GB2312" w:hAnsi="仿宋_GB2312" w:cs="仿宋_GB2312" w:eastAsia="仿宋_GB2312"/>
                      <w:sz w:val="24"/>
                    </w:rPr>
                    <w:t>“西科E站”工作台，学生可选择进入。</w:t>
                  </w: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数据集成与对接</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与学校基础平台的集成</w:t>
                  </w:r>
                </w:p>
                <w:p>
                  <w:pPr>
                    <w:pStyle w:val="null3"/>
                    <w:jc w:val="center"/>
                  </w:pP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负责</w:t>
                  </w:r>
                  <w:r>
                    <w:rPr>
                      <w:rFonts w:ascii="仿宋_GB2312" w:hAnsi="仿宋_GB2312" w:cs="仿宋_GB2312" w:eastAsia="仿宋_GB2312"/>
                      <w:sz w:val="24"/>
                    </w:rPr>
                    <w:t>与学校基础平台实现认证集成、服务集成、消息集成，具体集成要求如下：与学校统一身份认证平台实现集成，实现单点登录</w:t>
                  </w:r>
                  <w:r>
                    <w:rPr>
                      <w:rFonts w:ascii="仿宋_GB2312" w:hAnsi="仿宋_GB2312" w:cs="仿宋_GB2312" w:eastAsia="仿宋_GB2312"/>
                      <w:sz w:val="24"/>
                    </w:rPr>
                    <w:t>;常用服务拆解成微服务集成到“西科E站”,消息与学校消息中台对接。</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现有系统数据对接</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必须与学校现有教务系统、一卡通系统、宿舍管理系统、图书馆系统、财务系统、迎新系统、保卫处等进行学生数据对接，实现自动调取学生基本信息、成绩、消费、进出、借阅、奖助、进出校门等数据，且所有学生数据来源唯一，无重复录入。对接过程中产生的费用由中标</w:t>
                  </w:r>
                  <w:r>
                    <w:rPr>
                      <w:rFonts w:ascii="仿宋_GB2312" w:hAnsi="仿宋_GB2312" w:cs="仿宋_GB2312" w:eastAsia="仿宋_GB2312"/>
                      <w:sz w:val="24"/>
                    </w:rPr>
                    <w:t>人</w:t>
                  </w:r>
                  <w:r>
                    <w:rPr>
                      <w:rFonts w:ascii="仿宋_GB2312" w:hAnsi="仿宋_GB2312" w:cs="仿宋_GB2312" w:eastAsia="仿宋_GB2312"/>
                      <w:sz w:val="24"/>
                    </w:rPr>
                    <w:t>承担。</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旧系统数据迁移</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将原有学工系统中的全部历史数据完整、准确、无损迁移至新系统，迁移后需验证数据一致性并提供迁移报告。</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数据中台对接</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按照学校数据中台标准接口规范，</w:t>
                  </w:r>
                  <w:r>
                    <w:rPr>
                      <w:rFonts w:ascii="仿宋_GB2312" w:hAnsi="仿宋_GB2312" w:cs="仿宋_GB2312" w:eastAsia="仿宋_GB2312"/>
                      <w:sz w:val="24"/>
                    </w:rPr>
                    <w:t>负责</w:t>
                  </w:r>
                  <w:r>
                    <w:rPr>
                      <w:rFonts w:ascii="仿宋_GB2312" w:hAnsi="仿宋_GB2312" w:cs="仿宋_GB2312" w:eastAsia="仿宋_GB2312"/>
                      <w:sz w:val="24"/>
                    </w:rPr>
                    <w:t>与学校信息网络中心的数据中台集成，实时将系统中产生的学生数据、业务数据等数据推送至学校数据中台，支持全量及增量同步。</w:t>
                  </w:r>
                </w:p>
              </w:tc>
            </w:tr>
            <w:tr>
              <w:tc>
                <w:tcPr>
                  <w:tcW w:type="dxa" w:w="195"/>
                  <w:vMerge/>
                  <w:tcBorders>
                    <w:top w:val="none" w:color="000000" w:sz="4"/>
                    <w:left w:val="single" w:color="000000" w:sz="4"/>
                    <w:bottom w:val="singl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接口开放</w:t>
                  </w:r>
                </w:p>
              </w:tc>
              <w:tc>
                <w:tcPr>
                  <w:tcW w:type="dxa" w:w="1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负责</w:t>
                  </w:r>
                  <w:r>
                    <w:rPr>
                      <w:rFonts w:ascii="仿宋_GB2312" w:hAnsi="仿宋_GB2312" w:cs="仿宋_GB2312" w:eastAsia="仿宋_GB2312"/>
                      <w:sz w:val="24"/>
                    </w:rPr>
                    <w:t>提供标准</w:t>
                  </w:r>
                  <w:r>
                    <w:rPr>
                      <w:rFonts w:ascii="仿宋_GB2312" w:hAnsi="仿宋_GB2312" w:cs="仿宋_GB2312" w:eastAsia="仿宋_GB2312"/>
                      <w:sz w:val="24"/>
                    </w:rPr>
                    <w:t>RESTful API接口，供学校其他业务平台（如统一门户、教务系统等）调用，提供完整接口文档及沙箱环境。</w:t>
                  </w:r>
                </w:p>
              </w:tc>
            </w:tr>
          </w:tbl>
          <w:p>
            <w:pPr>
              <w:pStyle w:val="null3"/>
            </w:pPr>
            <w:r>
              <w:rPr>
                <w:rFonts w:ascii="仿宋_GB2312" w:hAnsi="仿宋_GB2312" w:cs="仿宋_GB2312" w:eastAsia="仿宋_GB2312"/>
                <w:sz w:val="24"/>
              </w:rPr>
              <w:t>（二）</w:t>
            </w:r>
            <w:r>
              <w:rPr>
                <w:rFonts w:ascii="仿宋_GB2312" w:hAnsi="仿宋_GB2312" w:cs="仿宋_GB2312" w:eastAsia="仿宋_GB2312"/>
                <w:sz w:val="24"/>
              </w:rPr>
              <w:t>非功能性建设要求</w:t>
            </w:r>
          </w:p>
          <w:tbl>
            <w:tblPr>
              <w:tblInd w:type="dxa" w:w="120"/>
              <w:tblBorders>
                <w:top w:val="none" w:color="000000" w:sz="4"/>
                <w:left w:val="none" w:color="000000" w:sz="4"/>
                <w:bottom w:val="none" w:color="000000" w:sz="4"/>
                <w:right w:val="none" w:color="000000" w:sz="4"/>
                <w:insideH w:val="none"/>
                <w:insideV w:val="none"/>
              </w:tblBorders>
            </w:tblPr>
            <w:tblGrid>
              <w:gridCol w:w="405"/>
              <w:gridCol w:w="2148"/>
            </w:tblGrid>
            <w:tr>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其他</w:t>
                  </w:r>
                </w:p>
              </w:tc>
              <w:tc>
                <w:tcPr>
                  <w:tcW w:type="dxa" w:w="2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详细要求</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数据本地化</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全部数据（含代码、数据库、配置文件、日志）必须部署在校内私有云或物理服务器上，具体配置要求以学校信息网络中心的要求为准。不得使用任何公有云</w:t>
                  </w:r>
                  <w:r>
                    <w:rPr>
                      <w:rFonts w:ascii="仿宋_GB2312" w:hAnsi="仿宋_GB2312" w:cs="仿宋_GB2312" w:eastAsia="仿宋_GB2312"/>
                      <w:sz w:val="24"/>
                    </w:rPr>
                    <w:t>SaaS服务。</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企业微信集成</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实现与企业微信的</w:t>
                  </w:r>
                  <w:r>
                    <w:rPr>
                      <w:rFonts w:ascii="仿宋_GB2312" w:hAnsi="仿宋_GB2312" w:cs="仿宋_GB2312" w:eastAsia="仿宋_GB2312"/>
                      <w:sz w:val="24"/>
                    </w:rPr>
                    <w:t>OAuth统一身份认证，所有待办、消息通知、审批流程均通过企业微信推送，手机端功能可在企业微信工作台中直接使用。</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数据安全与脱敏</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必须对身份证号、手机号、家庭住址、银行账号等敏感数据在展示、导出、日志中做自动脱敏处理（如中间</w:t>
                  </w:r>
                  <w:r>
                    <w:rPr>
                      <w:rFonts w:ascii="仿宋_GB2312" w:hAnsi="仿宋_GB2312" w:cs="仿宋_GB2312" w:eastAsia="仿宋_GB2312"/>
                      <w:sz w:val="24"/>
                    </w:rPr>
                    <w:t>4位*号）。提供数据安全分级分类策略。</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保密协议与承诺</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成交供应商须在合同签订前签署《数据安全保密协议》及《个人信息保护承诺书》，所有实施及运维人员通过背景审查。</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定期备份</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系统自动执行每日增量备份、每周全量备份，备份数据异地（或不同存储系统）保存至少</w:t>
                  </w:r>
                  <w:r>
                    <w:rPr>
                      <w:rFonts w:ascii="仿宋_GB2312" w:hAnsi="仿宋_GB2312" w:cs="仿宋_GB2312" w:eastAsia="仿宋_GB2312"/>
                      <w:sz w:val="24"/>
                    </w:rPr>
                    <w:t>30天，备份恢复时间≤2小时。</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数据来源单一</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每个学生数据项（如姓名、学号、班级）仅允许从权威源系统（教务系统）同步，其他模块不得重复录入，确保唯一性。</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便捷性</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所有面向师生的操作均为</w:t>
                  </w:r>
                  <w:r>
                    <w:rPr>
                      <w:rFonts w:ascii="仿宋_GB2312" w:hAnsi="仿宋_GB2312" w:cs="仿宋_GB2312" w:eastAsia="仿宋_GB2312"/>
                      <w:sz w:val="24"/>
                    </w:rPr>
                    <w:t>3次点击内完成；手机端界面适配主流机型（iOS/Android</w:t>
                  </w:r>
                  <w:r>
                    <w:rPr>
                      <w:rFonts w:ascii="仿宋_GB2312" w:hAnsi="仿宋_GB2312" w:cs="仿宋_GB2312" w:eastAsia="仿宋_GB2312"/>
                      <w:sz w:val="24"/>
                    </w:rPr>
                    <w:t>/HarmonyOS</w:t>
                  </w:r>
                  <w:r>
                    <w:rPr>
                      <w:rFonts w:ascii="仿宋_GB2312" w:hAnsi="仿宋_GB2312" w:cs="仿宋_GB2312" w:eastAsia="仿宋_GB2312"/>
                      <w:sz w:val="24"/>
                    </w:rPr>
                    <w:t>）；提供全局搜索、常用功能收藏、批量导入导出模板。</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高并发要求</w:t>
                  </w:r>
                </w:p>
              </w:tc>
              <w:tc>
                <w:tcPr>
                  <w:tcW w:type="dxa" w:w="2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供应商提供的系统须满足日常管理中的高并发需求，须支持至少</w:t>
                  </w:r>
                  <w:r>
                    <w:rPr>
                      <w:rFonts w:ascii="仿宋_GB2312" w:hAnsi="仿宋_GB2312" w:cs="仿宋_GB2312" w:eastAsia="仿宋_GB2312"/>
                      <w:sz w:val="24"/>
                    </w:rPr>
                    <w:t>2.5万用户在线，5000用户并时平均响应时间不超过3秒，</w:t>
                  </w:r>
                </w:p>
              </w:tc>
            </w:tr>
          </w:tbl>
          <w:p>
            <w:pPr>
              <w:pStyle w:val="null3"/>
            </w:pPr>
            <w:r>
              <w:rPr>
                <w:rFonts w:ascii="仿宋_GB2312" w:hAnsi="仿宋_GB2312" w:cs="仿宋_GB2312" w:eastAsia="仿宋_GB2312"/>
                <w:sz w:val="24"/>
              </w:rPr>
              <w:t>（三）</w:t>
            </w:r>
            <w:r>
              <w:rPr>
                <w:rFonts w:ascii="仿宋_GB2312" w:hAnsi="仿宋_GB2312" w:cs="仿宋_GB2312" w:eastAsia="仿宋_GB2312"/>
                <w:sz w:val="24"/>
              </w:rPr>
              <w:t>工程实施与培训验收要求</w:t>
            </w:r>
          </w:p>
          <w:tbl>
            <w:tblPr>
              <w:tblInd w:type="dxa" w:w="120"/>
              <w:tblBorders>
                <w:top w:val="none" w:color="000000" w:sz="4"/>
                <w:left w:val="none" w:color="000000" w:sz="4"/>
                <w:bottom w:val="none" w:color="000000" w:sz="4"/>
                <w:right w:val="none" w:color="000000" w:sz="4"/>
                <w:insideH w:val="none"/>
                <w:insideV w:val="none"/>
              </w:tblBorders>
            </w:tblPr>
            <w:tblGrid>
              <w:gridCol w:w="456"/>
              <w:gridCol w:w="2096"/>
            </w:tblGrid>
            <w:tr>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项目</w:t>
                  </w:r>
                </w:p>
              </w:tc>
              <w:tc>
                <w:tcPr>
                  <w:tcW w:type="dxa" w:w="20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验收标准</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实施方案</w:t>
                  </w:r>
                </w:p>
              </w:tc>
              <w:tc>
                <w:tcPr>
                  <w:tcW w:type="dxa" w:w="2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提供详细实施计划、数据迁移方案、回滚方案、安全测评方案，经校方签字确认后方可实施。</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数据迁移</w:t>
                  </w:r>
                </w:p>
              </w:tc>
              <w:tc>
                <w:tcPr>
                  <w:tcW w:type="dxa" w:w="2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迁移后新旧系统并行运行</w:t>
                  </w:r>
                  <w:r>
                    <w:rPr>
                      <w:rFonts w:ascii="仿宋_GB2312" w:hAnsi="仿宋_GB2312" w:cs="仿宋_GB2312" w:eastAsia="仿宋_GB2312"/>
                      <w:sz w:val="24"/>
                    </w:rPr>
                    <w:t>30天，数据一致率100%；提供迁移验证报告。</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培训服务</w:t>
                  </w:r>
                </w:p>
              </w:tc>
              <w:tc>
                <w:tcPr>
                  <w:tcW w:type="dxa" w:w="2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面向校领导、学工部、学院副书记、辅导员、学生分别开展不少于</w:t>
                  </w:r>
                  <w:r>
                    <w:rPr>
                      <w:rFonts w:ascii="仿宋_GB2312" w:hAnsi="仿宋_GB2312" w:cs="仿宋_GB2312" w:eastAsia="仿宋_GB2312"/>
                      <w:sz w:val="24"/>
                    </w:rPr>
                    <w:t>3场现场培训，并提供录制视频、操作手册、常见问题文档。</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上线试运行</w:t>
                  </w:r>
                </w:p>
              </w:tc>
              <w:tc>
                <w:tcPr>
                  <w:tcW w:type="dxa" w:w="2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系统试运行周期</w:t>
                  </w:r>
                  <w:r>
                    <w:rPr>
                      <w:rFonts w:ascii="仿宋_GB2312" w:hAnsi="仿宋_GB2312" w:cs="仿宋_GB2312" w:eastAsia="仿宋_GB2312"/>
                      <w:sz w:val="24"/>
                    </w:rPr>
                    <w:t>≥3个月，无重大功能缺陷及安全漏洞，用户满意度≥90%。</w:t>
                  </w:r>
                </w:p>
              </w:tc>
            </w:tr>
          </w:tbl>
          <w:p>
            <w:pPr>
              <w:pStyle w:val="null3"/>
            </w:pPr>
            <w:r>
              <w:rPr>
                <w:rFonts w:ascii="仿宋_GB2312" w:hAnsi="仿宋_GB2312" w:cs="仿宋_GB2312" w:eastAsia="仿宋_GB2312"/>
                <w:sz w:val="24"/>
              </w:rPr>
              <w:t>（四）</w:t>
            </w:r>
            <w:r>
              <w:rPr>
                <w:rFonts w:ascii="仿宋_GB2312" w:hAnsi="仿宋_GB2312" w:cs="仿宋_GB2312" w:eastAsia="仿宋_GB2312"/>
                <w:sz w:val="24"/>
              </w:rPr>
              <w:t>售后及服务期要求（三年）</w:t>
            </w:r>
          </w:p>
          <w:tbl>
            <w:tblPr>
              <w:tblInd w:type="dxa" w:w="120"/>
              <w:tblBorders>
                <w:top w:val="none" w:color="000000" w:sz="4"/>
                <w:left w:val="none" w:color="000000" w:sz="4"/>
                <w:bottom w:val="none" w:color="000000" w:sz="4"/>
                <w:right w:val="none" w:color="000000" w:sz="4"/>
                <w:insideH w:val="none"/>
                <w:insideV w:val="none"/>
              </w:tblBorders>
            </w:tblPr>
            <w:tblGrid>
              <w:gridCol w:w="609"/>
              <w:gridCol w:w="1944"/>
            </w:tblGrid>
            <w:tr>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服务内容</w:t>
                  </w:r>
                </w:p>
              </w:tc>
              <w:tc>
                <w:tcPr>
                  <w:tcW w:type="dxa" w:w="1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要求</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服务期计算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自系统通过最终验收并正式使用之日起计算</w:t>
                  </w:r>
                  <w:r>
                    <w:rPr>
                      <w:rFonts w:ascii="仿宋_GB2312" w:hAnsi="仿宋_GB2312" w:cs="仿宋_GB2312" w:eastAsia="仿宋_GB2312"/>
                      <w:sz w:val="24"/>
                    </w:rPr>
                    <w:t>36个月。</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维护升级</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服务期内负责提供</w:t>
                  </w:r>
                  <w:r>
                    <w:rPr>
                      <w:rFonts w:ascii="仿宋_GB2312" w:hAnsi="仿宋_GB2312" w:cs="仿宋_GB2312" w:eastAsia="仿宋_GB2312"/>
                      <w:sz w:val="24"/>
                    </w:rPr>
                    <w:t>Bug修复、安全补丁、性能优化、小版本升级。</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响应时间</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7×24小时服务，故障分级：一级故障1小时内响应，4小时内解决；二级故障2小时内响应，24小时内解决。</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定期巡检</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每季度提供一次现场系统巡检，出具巡检报告及优化建议；每年至少完成一次全面的系统安全漏洞扫描，对系统安全风险进行排查检测及整改，完成后出具完整的安全漏洞扫描报告。</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数据备份验证</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每月进行一次备份数据恢复验证，确保备份可用。</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接口维护</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负责为学校其他系统接口变更提供适配修改。</w:t>
                  </w:r>
                </w:p>
              </w:tc>
            </w:tr>
          </w:tbl>
          <w:p>
            <w:pPr>
              <w:pStyle w:val="null3"/>
            </w:pPr>
            <w:r>
              <w:rPr>
                <w:rFonts w:ascii="仿宋_GB2312" w:hAnsi="仿宋_GB2312" w:cs="仿宋_GB2312" w:eastAsia="仿宋_GB2312"/>
                <w:sz w:val="24"/>
              </w:rPr>
              <w:t>（五）</w:t>
            </w:r>
            <w:r>
              <w:rPr>
                <w:rFonts w:ascii="仿宋_GB2312" w:hAnsi="仿宋_GB2312" w:cs="仿宋_GB2312" w:eastAsia="仿宋_GB2312"/>
                <w:sz w:val="24"/>
              </w:rPr>
              <w:t>验收交付物清单</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系统源码及数据库脚本（含全部定制化代码）</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部署及运维手册</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API接口文档</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数据字典</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安全测评报告（含渗透测试、脱敏验证）</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用户操作手册（分角色）</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培训签到表及录像</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数据迁移报告</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三年服务承诺函</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保密协议及承诺书原件</w:t>
                  </w:r>
                </w:p>
              </w:tc>
            </w:tr>
          </w:tbl>
          <w:p>
            <w:pPr>
              <w:pStyle w:val="null3"/>
            </w:pPr>
            <w:r>
              <w:rPr>
                <w:rFonts w:ascii="仿宋_GB2312" w:hAnsi="仿宋_GB2312" w:cs="仿宋_GB2312" w:eastAsia="仿宋_GB2312"/>
                <w:sz w:val="24"/>
              </w:rPr>
              <w:t>（六）</w:t>
            </w:r>
            <w:r>
              <w:rPr>
                <w:rFonts w:ascii="仿宋_GB2312" w:hAnsi="仿宋_GB2312" w:cs="仿宋_GB2312" w:eastAsia="仿宋_GB2312"/>
                <w:sz w:val="24"/>
              </w:rPr>
              <w:t>备注</w:t>
            </w:r>
          </w:p>
          <w:tbl>
            <w:tblPr>
              <w:tblInd w:type="dxa" w:w="120"/>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所有功能项必须实现确定性功能，不得使用</w:t>
                  </w:r>
                  <w:r>
                    <w:rPr>
                      <w:rFonts w:ascii="仿宋_GB2312" w:hAnsi="仿宋_GB2312" w:cs="仿宋_GB2312" w:eastAsia="仿宋_GB2312"/>
                      <w:sz w:val="24"/>
                    </w:rPr>
                    <w:t>“可”、“一般”等模糊表述。</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服务期三年，从系统正式使用之日起计算。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验收需提供全部源代码、部署文档、</w:t>
                  </w:r>
                  <w:r>
                    <w:rPr>
                      <w:rFonts w:ascii="仿宋_GB2312" w:hAnsi="仿宋_GB2312" w:cs="仿宋_GB2312" w:eastAsia="仿宋_GB2312"/>
                      <w:sz w:val="24"/>
                    </w:rPr>
                    <w:t>API文档、运维手册、培训记录、数据迁移报告、安全测评报告</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本项目清单为招标核心附件，</w:t>
                  </w:r>
                  <w:r>
                    <w:rPr>
                      <w:rFonts w:ascii="仿宋_GB2312" w:hAnsi="仿宋_GB2312" w:cs="仿宋_GB2312" w:eastAsia="仿宋_GB2312"/>
                      <w:sz w:val="24"/>
                    </w:rPr>
                    <w:t>成交</w:t>
                  </w:r>
                  <w:r>
                    <w:rPr>
                      <w:rFonts w:ascii="仿宋_GB2312" w:hAnsi="仿宋_GB2312" w:cs="仿宋_GB2312" w:eastAsia="仿宋_GB2312"/>
                      <w:sz w:val="24"/>
                    </w:rPr>
                    <w:t>后需逐项细化至《项目验收细目表》，并作为最终验收依据。凡未通过验收条目，</w:t>
                  </w:r>
                  <w:r>
                    <w:rPr>
                      <w:rFonts w:ascii="仿宋_GB2312" w:hAnsi="仿宋_GB2312" w:cs="仿宋_GB2312" w:eastAsia="仿宋_GB2312"/>
                      <w:sz w:val="24"/>
                    </w:rPr>
                    <w:t>成交供应商</w:t>
                  </w:r>
                  <w:r>
                    <w:rPr>
                      <w:rFonts w:ascii="仿宋_GB2312" w:hAnsi="仿宋_GB2312" w:cs="仿宋_GB2312" w:eastAsia="仿宋_GB2312"/>
                      <w:sz w:val="24"/>
                    </w:rPr>
                    <w:t>须在</w:t>
                  </w:r>
                  <w:r>
                    <w:rPr>
                      <w:rFonts w:ascii="仿宋_GB2312" w:hAnsi="仿宋_GB2312" w:cs="仿宋_GB2312" w:eastAsia="仿宋_GB2312"/>
                      <w:sz w:val="24"/>
                    </w:rPr>
                    <w:t>15个工作日内负责完成整改直至达标。本项目所有服务费用均包含在本项目报价中，后续不再增加费用。</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系统应满足二级等保以上的要求。应满足信创的要求</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“一站式”智慧学工平台在合同签订后120日历日交付，平台质保及运维服务期为自系统通过最终验收并正式使用之日起计算36个月。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依据磋商文件、磋商响应文件及合同内容。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进度款，系统验收合格，达到付款条件起10个工作日内，支付合同总金额的60.0%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按照《中华人民共和国民法典》规定及合同条款约定进行处理。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磋商文件规定要求签署、盖章的；（2）不满足本磋商文件中“服务期限、服务地点、采购资金的支付方式及约定”的实质性条款要求的； （3）报价未超过磋商文件中规定的对应的采购预算或最高限价的； （4）响应文件有效期不足的或无有效期的； （5）法律、法规和磋商文件规定的其他无效情形。</w:t>
            </w:r>
          </w:p>
        </w:tc>
        <w:tc>
          <w:tcPr>
            <w:tcW w:type="dxa" w:w="1661"/>
          </w:tcPr>
          <w:p>
            <w:pPr>
              <w:pStyle w:val="null3"/>
            </w:pPr>
            <w:r>
              <w:rPr>
                <w:rFonts w:ascii="仿宋_GB2312" w:hAnsi="仿宋_GB2312" w:cs="仿宋_GB2312" w:eastAsia="仿宋_GB2312"/>
              </w:rPr>
              <w:t>响应文件封面 承诺书.docx 标的清单 报价表 商务部分偏离表.docx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根据供应商对3.2.2服务要求 “（一）系统建设清单及要求”中“分级驾驶舱、日常管理、综合测评与评奖评优、学生画像、一站式育人记录、心理咨询、资助服务、移动端集成”8个一级模块中各系统功能的响应情况进行评审： 每满足1项功能计0.5分，满分13分。 备注： 1.提供的有效佐证材料不限于产品彩页或第三方检测机构出具的检测报告或官网功能截图或以往开发类似系统相近的功能截图等。 2.若佐证材料与技术响应偏离表响应内容不一致的，以佐证材料为准。同一指标提供佐证材料内容不一致的，以最不利于投标人的情形进行评审。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1技术响应.docx</w:t>
            </w:r>
          </w:p>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供应商针对本项目需求提供实施方案，至少包括①项目实施流程；②平台安装、调试方案；③实施计划及进度安排；④组织管理措施；⑤项目实施重难点及解决措施。 上述5项内容 ，每提供1项内容计2分，每项内容存在1处瑕疵扣0.5分；满分10分。 本⽂所称“瑕疵”是指内容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2实施方案.docx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供应商针对本项目需求提供技术服务方案，至少包括①现状分析；②总体设计；③系统架构设计；④功能模块设计；⑤平台集成方案；⑥数据迁移方案；⑦接口设计方案。 上述7项内容 ，每提供1项内容计2分，每项内容存在1处瑕疵扣0.5分；满分14分。 本⽂所称“瑕疵”是指内容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3技术服务方案.docx</w:t>
            </w:r>
          </w:p>
        </w:tc>
      </w:tr>
      <w:tr>
        <w:tc>
          <w:tcPr>
            <w:tcW w:type="dxa" w:w="831"/>
            <w:vMerge/>
          </w:tcPr>
          <w:p/>
        </w:tc>
        <w:tc>
          <w:tcPr>
            <w:tcW w:type="dxa" w:w="1661"/>
          </w:tcPr>
          <w:p>
            <w:pPr>
              <w:pStyle w:val="null3"/>
            </w:pPr>
            <w:r>
              <w:rPr>
                <w:rFonts w:ascii="仿宋_GB2312" w:hAnsi="仿宋_GB2312" w:cs="仿宋_GB2312" w:eastAsia="仿宋_GB2312"/>
              </w:rPr>
              <w:t>等保要求</w:t>
            </w:r>
          </w:p>
        </w:tc>
        <w:tc>
          <w:tcPr>
            <w:tcW w:type="dxa" w:w="2492"/>
          </w:tcPr>
          <w:p>
            <w:pPr>
              <w:pStyle w:val="null3"/>
            </w:pPr>
            <w:r>
              <w:rPr>
                <w:rFonts w:ascii="仿宋_GB2312" w:hAnsi="仿宋_GB2312" w:cs="仿宋_GB2312" w:eastAsia="仿宋_GB2312"/>
              </w:rPr>
              <w:t>供应商提供的系统需满足国家等保需求，提供的系统具有三级等保测评报告，得2分，具有二级等保测评报告或承诺验收前配合学校完成二级以上等保测评得1分，未提供得0分。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4等保要求.docx</w:t>
            </w:r>
          </w:p>
        </w:tc>
      </w:tr>
      <w:tr>
        <w:tc>
          <w:tcPr>
            <w:tcW w:type="dxa" w:w="831"/>
            <w:vMerge/>
          </w:tcPr>
          <w:p/>
        </w:tc>
        <w:tc>
          <w:tcPr>
            <w:tcW w:type="dxa" w:w="1661"/>
          </w:tcPr>
          <w:p>
            <w:pPr>
              <w:pStyle w:val="null3"/>
            </w:pPr>
            <w:r>
              <w:rPr>
                <w:rFonts w:ascii="仿宋_GB2312" w:hAnsi="仿宋_GB2312" w:cs="仿宋_GB2312" w:eastAsia="仿宋_GB2312"/>
              </w:rPr>
              <w:t>满足高并发需求</w:t>
            </w:r>
          </w:p>
        </w:tc>
        <w:tc>
          <w:tcPr>
            <w:tcW w:type="dxa" w:w="2492"/>
          </w:tcPr>
          <w:p>
            <w:pPr>
              <w:pStyle w:val="null3"/>
            </w:pPr>
            <w:r>
              <w:rPr>
                <w:rFonts w:ascii="仿宋_GB2312" w:hAnsi="仿宋_GB2312" w:cs="仿宋_GB2312" w:eastAsia="仿宋_GB2312"/>
              </w:rPr>
              <w:t>供应商提供的系统须满足日常管理中的高并发需求，须支持至少2.5万用户在线，5000用户并时平均响应时间不超过3秒，提供第三方机构出具的测试报告得2分，不满足或未提供得0分。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5满足高并发需求.docx</w:t>
            </w:r>
          </w:p>
        </w:tc>
      </w:tr>
      <w:tr>
        <w:tc>
          <w:tcPr>
            <w:tcW w:type="dxa" w:w="831"/>
            <w:vMerge/>
          </w:tcPr>
          <w:p/>
        </w:tc>
        <w:tc>
          <w:tcPr>
            <w:tcW w:type="dxa" w:w="1661"/>
          </w:tcPr>
          <w:p>
            <w:pPr>
              <w:pStyle w:val="null3"/>
            </w:pPr>
            <w:r>
              <w:rPr>
                <w:rFonts w:ascii="仿宋_GB2312" w:hAnsi="仿宋_GB2312" w:cs="仿宋_GB2312" w:eastAsia="仿宋_GB2312"/>
              </w:rPr>
              <w:t>国产化环境部署</w:t>
            </w:r>
          </w:p>
        </w:tc>
        <w:tc>
          <w:tcPr>
            <w:tcW w:type="dxa" w:w="2492"/>
          </w:tcPr>
          <w:p>
            <w:pPr>
              <w:pStyle w:val="null3"/>
            </w:pPr>
            <w:r>
              <w:rPr>
                <w:rFonts w:ascii="仿宋_GB2312" w:hAnsi="仿宋_GB2312" w:cs="仿宋_GB2312" w:eastAsia="仿宋_GB2312"/>
              </w:rPr>
              <w:t>供应商提供的系统需支持国产化环境部署，需提供国产化数据库、中间件和操作系统厂家提供的适配证明，提供得2分，不提供得0分。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6国产化环境部署.docx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需求在项目完成时对采购单位人员进行常见问题、运维等提供培训⽅案，⽅案应⾄少包括但不限于①培训时间计划及培训对象（校领导、学工部、学院副书记、辅导员、学生）；②培训内容及培训方案；③后期管理。 上述3项内容，每提供1项内容计2分，每项内容存在1处瑕疵扣0.5分；本评分点满分6分。 本⽂所称“瑕疵”是指内容缺少关键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7培训方案.docx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拟派项目经理须为供应商在职员工，并通过计算机技术与软件专业技术资格（水平）考试并取得高级资格（信息系统项目管理师）得3分，取得中级资格（系统集成项目管理工程师）得1分。 提供人员职业资格证书及在职证明材料，未提供或资料不全不得分。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8项目经理.docx</w:t>
            </w:r>
          </w:p>
        </w:tc>
      </w:tr>
      <w:tr>
        <w:tc>
          <w:tcPr>
            <w:tcW w:type="dxa" w:w="831"/>
            <w:vMerge/>
          </w:tcPr>
          <w:p/>
        </w:tc>
        <w:tc>
          <w:tcPr>
            <w:tcW w:type="dxa" w:w="1661"/>
          </w:tcPr>
          <w:p>
            <w:pPr>
              <w:pStyle w:val="null3"/>
            </w:pPr>
            <w:r>
              <w:rPr>
                <w:rFonts w:ascii="仿宋_GB2312" w:hAnsi="仿宋_GB2312" w:cs="仿宋_GB2312" w:eastAsia="仿宋_GB2312"/>
              </w:rPr>
              <w:t>团队配置（项目经理除外）</w:t>
            </w:r>
          </w:p>
        </w:tc>
        <w:tc>
          <w:tcPr>
            <w:tcW w:type="dxa" w:w="2492"/>
          </w:tcPr>
          <w:p>
            <w:pPr>
              <w:pStyle w:val="null3"/>
            </w:pPr>
            <w:r>
              <w:rPr>
                <w:rFonts w:ascii="仿宋_GB2312" w:hAnsi="仿宋_GB2312" w:cs="仿宋_GB2312" w:eastAsia="仿宋_GB2312"/>
              </w:rPr>
              <w:t>（1）供应商配备团队人员（不含项目经理）均须为供应商在职员工，其中每有1名通过计算机技术与软件专业技术资格（水平）考试并取得中级及以上资格（系统集成项目管理工程师/信息系统监理师/信息安全工程师/数据库系统工程师/信息系统管理工程师/信息系统项目管理师/系统分析师）的得1分，满分4分。 提供人员职业资格证书及在职证明材料，未提供或资料不全不得分。 （2）供应商提供团队人员组织架构及清单，至少满足数据分析对接、架构及功能设计、实施建设、测试交付验收等阶段的工作。 组织架构及人员清单清晰明确，满足上述所有阶段工作，符合项目实施需求计2分； 提供内容不明确的计1分。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9团队配置（项目经理除外）.docx</w:t>
            </w:r>
          </w:p>
        </w:tc>
      </w:tr>
      <w:tr>
        <w:tc>
          <w:tcPr>
            <w:tcW w:type="dxa" w:w="831"/>
            <w:vMerge/>
          </w:tcPr>
          <w:p/>
        </w:tc>
        <w:tc>
          <w:tcPr>
            <w:tcW w:type="dxa" w:w="1661"/>
          </w:tcPr>
          <w:p>
            <w:pPr>
              <w:pStyle w:val="null3"/>
            </w:pPr>
            <w:r>
              <w:rPr>
                <w:rFonts w:ascii="仿宋_GB2312" w:hAnsi="仿宋_GB2312" w:cs="仿宋_GB2312" w:eastAsia="仿宋_GB2312"/>
              </w:rPr>
              <w:t>数据保密及承诺</w:t>
            </w:r>
          </w:p>
        </w:tc>
        <w:tc>
          <w:tcPr>
            <w:tcW w:type="dxa" w:w="2492"/>
          </w:tcPr>
          <w:p>
            <w:pPr>
              <w:pStyle w:val="null3"/>
            </w:pPr>
            <w:r>
              <w:rPr>
                <w:rFonts w:ascii="仿宋_GB2312" w:hAnsi="仿宋_GB2312" w:cs="仿宋_GB2312" w:eastAsia="仿宋_GB2312"/>
              </w:rPr>
              <w:t>（1）供应商承诺：若成交，在合同签订前签署《数据安全保密协议》及《个人信息保护承诺书》，所有实施及运维人员通过背景审查。提供承诺书并加盖供应商公章计3分，未提供不计分。 （2）供应商提供数据安全分级分类策略，且内容详细明确具体的，计2分。分级策略内容简略计0.5分。 （3）供应商具有有效的①信息技术服务管理体系认证证书；②信息安全管理体系认证证书。每提供1个有效认证证书计1分，满分2分。 （4）供应商承诺：若成交，每个学生数据项仅从权威源系统（教务系统）同步，其他模块不得重复录入，确保数据唯一性。提供承诺并加盖供应商公章计2分，未提供不计分。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10数据保密及承诺.docx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供应商须对以下内容承诺及响应： （1）服务期内为7×24小时服务，故障分级：一级故障1小时内响应，4小时内解决；二级故障2小时内响应，24小时内解决。提供承诺书并加盖供应商公章计2分，未提供不计分。 （2）服务期内，每季度提供一次现场系统巡检，出具巡检报告及优化建议；每年至少完成一次全面的系统安全漏洞扫描，对系统安全风险进行排查检测及整改，完成后出具完整的安全漏洞扫描报告。 供应商针对上述内容提供系统巡检事项清单及定期巡检承诺，承诺书应加盖供应商公章，提供齐全计3分，缺项或未提供不计分。 （3）每月进行一次备份数据恢复验证。提供承诺书并加盖供应商公章计1分，未提供不计分。 （4）针对本项目需求提供有关日常维护及保养的措施、应急措施、售后服务保障工具，每提供1项计1分，共3分。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11售后服务承诺.docx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一、供应商业绩： 提供供应商2023年1月1日至今同类项目完整业绩（以合同签订日期为准）。每提供1个完整业绩得2分，最高得10分。 备注： ①供应商须提供业绩清单和证明材料，以前5个业绩为得分依据。 ②一份完整的业绩包括：合同文本（至少包含合同首页、签署页、以及有关项目内容）、项目验收单。 ③未提供证明材料或证明材料不全的不得分。 二、项目经理业绩： 提供项目经理同类项目经验，提供项目经验证明材料，每提供1项计2分，共4分。 项目经验证明材料包括：合同文本（合同中包含项目经理名字）或项目执行过程资料中明确体现项目经理姓名。 本项满分14分。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磋商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 二、供应商提交的相关说明和证明材料，应当加盖供应商（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响应报价得分=(评标基准价／响应报价)×价格分值 1.计算分数时四舍五入取小数点后两位 2.落实政府采购政策，详见价格扣除。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详见附件：1技术响应.docx</w:t>
      </w:r>
    </w:p>
    <w:p>
      <w:pPr>
        <w:pStyle w:val="null3"/>
        <w:ind w:firstLine="960"/>
      </w:pPr>
      <w:r>
        <w:rPr>
          <w:rFonts w:ascii="仿宋_GB2312" w:hAnsi="仿宋_GB2312" w:cs="仿宋_GB2312" w:eastAsia="仿宋_GB2312"/>
        </w:rPr>
        <w:t>详见附件：2实施方案.docx</w:t>
      </w:r>
    </w:p>
    <w:p>
      <w:pPr>
        <w:pStyle w:val="null3"/>
        <w:ind w:firstLine="960"/>
      </w:pPr>
      <w:r>
        <w:rPr>
          <w:rFonts w:ascii="仿宋_GB2312" w:hAnsi="仿宋_GB2312" w:cs="仿宋_GB2312" w:eastAsia="仿宋_GB2312"/>
        </w:rPr>
        <w:t>详见附件：3技术服务方案.docx</w:t>
      </w:r>
    </w:p>
    <w:p>
      <w:pPr>
        <w:pStyle w:val="null3"/>
        <w:ind w:firstLine="960"/>
      </w:pPr>
      <w:r>
        <w:rPr>
          <w:rFonts w:ascii="仿宋_GB2312" w:hAnsi="仿宋_GB2312" w:cs="仿宋_GB2312" w:eastAsia="仿宋_GB2312"/>
        </w:rPr>
        <w:t>详见附件：4等保要求.docx</w:t>
      </w:r>
    </w:p>
    <w:p>
      <w:pPr>
        <w:pStyle w:val="null3"/>
        <w:ind w:firstLine="960"/>
      </w:pPr>
      <w:r>
        <w:rPr>
          <w:rFonts w:ascii="仿宋_GB2312" w:hAnsi="仿宋_GB2312" w:cs="仿宋_GB2312" w:eastAsia="仿宋_GB2312"/>
        </w:rPr>
        <w:t>详见附件：5满足高并发需求.docx</w:t>
      </w:r>
    </w:p>
    <w:p>
      <w:pPr>
        <w:pStyle w:val="null3"/>
        <w:ind w:firstLine="960"/>
      </w:pPr>
      <w:r>
        <w:rPr>
          <w:rFonts w:ascii="仿宋_GB2312" w:hAnsi="仿宋_GB2312" w:cs="仿宋_GB2312" w:eastAsia="仿宋_GB2312"/>
        </w:rPr>
        <w:t>详见附件：6国产化环境部署.docx</w:t>
      </w:r>
    </w:p>
    <w:p>
      <w:pPr>
        <w:pStyle w:val="null3"/>
        <w:ind w:firstLine="960"/>
      </w:pPr>
      <w:r>
        <w:rPr>
          <w:rFonts w:ascii="仿宋_GB2312" w:hAnsi="仿宋_GB2312" w:cs="仿宋_GB2312" w:eastAsia="仿宋_GB2312"/>
        </w:rPr>
        <w:t>详见附件：7培训方案.docx</w:t>
      </w:r>
    </w:p>
    <w:p>
      <w:pPr>
        <w:pStyle w:val="null3"/>
        <w:ind w:firstLine="960"/>
      </w:pPr>
      <w:r>
        <w:rPr>
          <w:rFonts w:ascii="仿宋_GB2312" w:hAnsi="仿宋_GB2312" w:cs="仿宋_GB2312" w:eastAsia="仿宋_GB2312"/>
        </w:rPr>
        <w:t>详见附件：8项目经理.docx</w:t>
      </w:r>
    </w:p>
    <w:p>
      <w:pPr>
        <w:pStyle w:val="null3"/>
        <w:ind w:firstLine="960"/>
      </w:pPr>
      <w:r>
        <w:rPr>
          <w:rFonts w:ascii="仿宋_GB2312" w:hAnsi="仿宋_GB2312" w:cs="仿宋_GB2312" w:eastAsia="仿宋_GB2312"/>
        </w:rPr>
        <w:t>详见附件：9团队配置（项目经理除外）.docx</w:t>
      </w:r>
    </w:p>
    <w:p>
      <w:pPr>
        <w:pStyle w:val="null3"/>
        <w:ind w:firstLine="960"/>
      </w:pPr>
      <w:r>
        <w:rPr>
          <w:rFonts w:ascii="仿宋_GB2312" w:hAnsi="仿宋_GB2312" w:cs="仿宋_GB2312" w:eastAsia="仿宋_GB2312"/>
        </w:rPr>
        <w:t>详见附件：10数据保密及承诺.docx</w:t>
      </w:r>
    </w:p>
    <w:p>
      <w:pPr>
        <w:pStyle w:val="null3"/>
        <w:ind w:firstLine="960"/>
      </w:pPr>
      <w:r>
        <w:rPr>
          <w:rFonts w:ascii="仿宋_GB2312" w:hAnsi="仿宋_GB2312" w:cs="仿宋_GB2312" w:eastAsia="仿宋_GB2312"/>
        </w:rPr>
        <w:t>详见附件：11售后服务承诺.docx</w:t>
      </w:r>
    </w:p>
    <w:p>
      <w:pPr>
        <w:pStyle w:val="null3"/>
        <w:ind w:firstLine="960"/>
      </w:pPr>
      <w:r>
        <w:rPr>
          <w:rFonts w:ascii="仿宋_GB2312" w:hAnsi="仿宋_GB2312" w:cs="仿宋_GB2312" w:eastAsia="仿宋_GB2312"/>
        </w:rPr>
        <w:t>详见附件：12业绩.docx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