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E1F0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一、项目内容</w:t>
      </w:r>
    </w:p>
    <w:p w14:paraId="419A0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完成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2021年至2024年约150万页审计项目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纸质档案的扫描，约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3万条档案条目著录，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全宗卷编制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，档案管理设备扩容升级与数据安全备份，通过省档案馆验收并按要求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移交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进馆。</w:t>
      </w:r>
    </w:p>
    <w:p w14:paraId="0672C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二、服务期限</w:t>
      </w:r>
    </w:p>
    <w:p w14:paraId="345B8D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合同签订后6个月内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完成全部工作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726BC9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三、结算方式</w:t>
      </w:r>
    </w:p>
    <w:p w14:paraId="20BB0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最终</w:t>
      </w:r>
      <w:r>
        <w:rPr>
          <w:rFonts w:hint="eastAsia" w:ascii="宋体" w:hAnsi="宋体" w:eastAsia="宋体" w:cs="宋体"/>
          <w:sz w:val="24"/>
          <w:szCs w:val="24"/>
          <w:lang w:val="zh-CN"/>
        </w:rPr>
        <w:t>根据实际扫描页数、著录条目数等实际产生的费用据实结算，</w:t>
      </w:r>
    </w:p>
    <w:p w14:paraId="44A78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四、项目内容明细及限价</w:t>
      </w:r>
    </w:p>
    <w:tbl>
      <w:tblPr>
        <w:tblStyle w:val="8"/>
        <w:tblW w:w="89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2003"/>
        <w:gridCol w:w="2003"/>
        <w:gridCol w:w="2068"/>
        <w:gridCol w:w="1947"/>
      </w:tblGrid>
      <w:tr w14:paraId="4767D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919" w:type="dxa"/>
            <w:noWrap/>
            <w:vAlign w:val="center"/>
          </w:tcPr>
          <w:p w14:paraId="5F4C3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2003" w:type="dxa"/>
            <w:noWrap/>
            <w:vAlign w:val="center"/>
          </w:tcPr>
          <w:p w14:paraId="6F3E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工作内容</w:t>
            </w:r>
          </w:p>
        </w:tc>
        <w:tc>
          <w:tcPr>
            <w:tcW w:w="2003" w:type="dxa"/>
            <w:noWrap/>
            <w:vAlign w:val="center"/>
          </w:tcPr>
          <w:p w14:paraId="2AA7C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预估数量</w:t>
            </w:r>
          </w:p>
        </w:tc>
        <w:tc>
          <w:tcPr>
            <w:tcW w:w="2068" w:type="dxa"/>
            <w:noWrap/>
            <w:vAlign w:val="center"/>
          </w:tcPr>
          <w:p w14:paraId="4A2D7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单价上限</w:t>
            </w:r>
          </w:p>
          <w:p w14:paraId="1B9FD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（元）</w:t>
            </w:r>
          </w:p>
        </w:tc>
        <w:tc>
          <w:tcPr>
            <w:tcW w:w="1947" w:type="dxa"/>
            <w:noWrap/>
            <w:vAlign w:val="center"/>
          </w:tcPr>
          <w:p w14:paraId="75BB1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预算金额</w:t>
            </w:r>
          </w:p>
          <w:p w14:paraId="0EFC9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（万元）</w:t>
            </w:r>
          </w:p>
        </w:tc>
      </w:tr>
      <w:tr w14:paraId="1D8B3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919" w:type="dxa"/>
            <w:noWrap/>
            <w:vAlign w:val="center"/>
          </w:tcPr>
          <w:p w14:paraId="3327A4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03" w:type="dxa"/>
            <w:vAlign w:val="center"/>
          </w:tcPr>
          <w:p w14:paraId="5DD62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档案扫描</w:t>
            </w:r>
          </w:p>
        </w:tc>
        <w:tc>
          <w:tcPr>
            <w:tcW w:w="2003" w:type="dxa"/>
            <w:noWrap/>
            <w:vAlign w:val="center"/>
          </w:tcPr>
          <w:p w14:paraId="271A0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150万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页</w:t>
            </w:r>
          </w:p>
        </w:tc>
        <w:tc>
          <w:tcPr>
            <w:tcW w:w="2068" w:type="dxa"/>
            <w:noWrap/>
            <w:vAlign w:val="center"/>
          </w:tcPr>
          <w:p w14:paraId="49AD2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≤0.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元/页</w:t>
            </w:r>
          </w:p>
        </w:tc>
        <w:tc>
          <w:tcPr>
            <w:tcW w:w="1947" w:type="dxa"/>
            <w:noWrap/>
            <w:vAlign w:val="center"/>
          </w:tcPr>
          <w:p w14:paraId="7A065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75</w:t>
            </w:r>
          </w:p>
        </w:tc>
      </w:tr>
      <w:tr w14:paraId="26170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919" w:type="dxa"/>
            <w:noWrap/>
            <w:vAlign w:val="center"/>
          </w:tcPr>
          <w:p w14:paraId="26F45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03" w:type="dxa"/>
            <w:vAlign w:val="center"/>
          </w:tcPr>
          <w:p w14:paraId="58D76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档案著录</w:t>
            </w:r>
          </w:p>
        </w:tc>
        <w:tc>
          <w:tcPr>
            <w:tcW w:w="2003" w:type="dxa"/>
            <w:noWrap/>
            <w:vAlign w:val="center"/>
          </w:tcPr>
          <w:p w14:paraId="0A380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3万条</w:t>
            </w:r>
          </w:p>
        </w:tc>
        <w:tc>
          <w:tcPr>
            <w:tcW w:w="2068" w:type="dxa"/>
            <w:noWrap/>
            <w:vAlign w:val="center"/>
          </w:tcPr>
          <w:p w14:paraId="0CCDB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≤0.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元/条</w:t>
            </w:r>
          </w:p>
        </w:tc>
        <w:tc>
          <w:tcPr>
            <w:tcW w:w="1947" w:type="dxa"/>
            <w:noWrap/>
            <w:vAlign w:val="center"/>
          </w:tcPr>
          <w:p w14:paraId="706D0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1.8</w:t>
            </w:r>
          </w:p>
        </w:tc>
      </w:tr>
      <w:tr w14:paraId="3DE5F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919" w:type="dxa"/>
            <w:noWrap/>
            <w:vAlign w:val="center"/>
          </w:tcPr>
          <w:p w14:paraId="55E25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003" w:type="dxa"/>
            <w:vAlign w:val="center"/>
          </w:tcPr>
          <w:p w14:paraId="1BBEE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全宗卷编制</w:t>
            </w:r>
          </w:p>
          <w:p w14:paraId="2FA78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及移交工作</w:t>
            </w:r>
          </w:p>
        </w:tc>
        <w:tc>
          <w:tcPr>
            <w:tcW w:w="2003" w:type="dxa"/>
            <w:noWrap/>
            <w:vAlign w:val="center"/>
          </w:tcPr>
          <w:p w14:paraId="32146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套</w:t>
            </w:r>
          </w:p>
        </w:tc>
        <w:tc>
          <w:tcPr>
            <w:tcW w:w="2068" w:type="dxa"/>
            <w:noWrap/>
            <w:vAlign w:val="center"/>
          </w:tcPr>
          <w:p w14:paraId="2C010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≤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00元</w:t>
            </w:r>
          </w:p>
        </w:tc>
        <w:tc>
          <w:tcPr>
            <w:tcW w:w="1947" w:type="dxa"/>
            <w:noWrap/>
            <w:vAlign w:val="center"/>
          </w:tcPr>
          <w:p w14:paraId="0EF74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2.2</w:t>
            </w:r>
          </w:p>
        </w:tc>
      </w:tr>
      <w:tr w14:paraId="7B350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919" w:type="dxa"/>
            <w:noWrap/>
            <w:vAlign w:val="center"/>
          </w:tcPr>
          <w:p w14:paraId="66938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03" w:type="dxa"/>
            <w:vAlign w:val="center"/>
          </w:tcPr>
          <w:p w14:paraId="3690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档案管理设备扩容升级与数据安全备份</w:t>
            </w:r>
          </w:p>
        </w:tc>
        <w:tc>
          <w:tcPr>
            <w:tcW w:w="2003" w:type="dxa"/>
            <w:noWrap/>
            <w:vAlign w:val="center"/>
          </w:tcPr>
          <w:p w14:paraId="52C9B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1项</w:t>
            </w:r>
          </w:p>
        </w:tc>
        <w:tc>
          <w:tcPr>
            <w:tcW w:w="2068" w:type="dxa"/>
            <w:noWrap/>
            <w:vAlign w:val="center"/>
          </w:tcPr>
          <w:p w14:paraId="01BF2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≤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,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0元</w:t>
            </w:r>
          </w:p>
        </w:tc>
        <w:tc>
          <w:tcPr>
            <w:tcW w:w="1947" w:type="dxa"/>
            <w:noWrap/>
            <w:vAlign w:val="center"/>
          </w:tcPr>
          <w:p w14:paraId="2237F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</w:tr>
      <w:tr w14:paraId="1027E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922" w:type="dxa"/>
            <w:gridSpan w:val="2"/>
            <w:noWrap/>
            <w:vAlign w:val="center"/>
          </w:tcPr>
          <w:p w14:paraId="34D44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合计</w:t>
            </w:r>
          </w:p>
        </w:tc>
        <w:tc>
          <w:tcPr>
            <w:tcW w:w="6018" w:type="dxa"/>
            <w:gridSpan w:val="3"/>
            <w:noWrap/>
            <w:vAlign w:val="center"/>
          </w:tcPr>
          <w:p w14:paraId="1F46E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≤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84万元</w:t>
            </w:r>
          </w:p>
        </w:tc>
      </w:tr>
    </w:tbl>
    <w:p w14:paraId="19402E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说明：</w:t>
      </w:r>
    </w:p>
    <w:p w14:paraId="4F9C1F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数字化加工包括但不限于数字化前处理、目录数据库建立、档案扫描、图像处理、档案著录、数据审核、装订还原、数据挂接、档案归还入库等基本环节。</w:t>
      </w:r>
    </w:p>
    <w:p w14:paraId="0B6114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扫描“页”的定义：页≤A4幅面的为一页，页&gt;A4幅面的折算为A4幅面计算页数（A4&lt;页≤A3，按A3幅面计，计为2页A4；A3&lt;页≤A2，按A2幅面计，计为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页A4；A2&lt;页≤A1，按A1幅面计，计为8页A4；页&gt;A1，按A0幅面计，计为16页A4）。</w:t>
      </w:r>
    </w:p>
    <w:p w14:paraId="3BAAC0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档案著录包含案卷目录著录和文书目录著录。</w:t>
      </w:r>
    </w:p>
    <w:p w14:paraId="0ECA96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4.</w:t>
      </w: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全宗卷编制及移交工作包含材料收集、编写、排版、打印装订和移交装箱、打包、搬运、车辆等。</w:t>
      </w:r>
    </w:p>
    <w:p w14:paraId="6F3FBA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5.</w:t>
      </w:r>
      <w:r>
        <w:rPr>
          <w:rFonts w:hint="eastAsia" w:ascii="宋体" w:hAnsi="宋体" w:eastAsia="宋体" w:cs="宋体"/>
          <w:color w:val="000000"/>
          <w:sz w:val="24"/>
          <w:szCs w:val="24"/>
          <w:lang w:val="zh-CN"/>
        </w:rPr>
        <w:t>档案管理设备扩容升级与数据安全备份，包含硬件配置、安装调试、数据安全备份与对接迁移等。</w:t>
      </w:r>
    </w:p>
    <w:p w14:paraId="4E7AB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五、技术标准与质量要求</w:t>
      </w:r>
    </w:p>
    <w:p w14:paraId="72786D3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  <w:t>（一）主要依据标准</w:t>
      </w:r>
    </w:p>
    <w:p w14:paraId="6DF4C95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本项目实施过程中，供应商须严格遵守国家及行业现行有效的技术标准规范，主要包括但不限于以下各项：《纸质档案数字化规范》（DA/T31-2017）、《档号编制规则》（DA/T13-2022）、《档案著录规则》（DA/T18-2022）、《全宗卷规范》（DA/T12-2012）、《档案服务外包工作规范》（DA/T68-2020）、《陕西省档案馆档案数字化操作工作规程》（2025年7月试行）。以上标准规范均应采用现行有效版本。</w:t>
      </w:r>
    </w:p>
    <w:p w14:paraId="7B79CBF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  <w:t>（二）关键技术要求</w:t>
      </w:r>
    </w:p>
    <w:p w14:paraId="78098E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（1）扫描。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根据档案幅面的大小(A4、A3、A0等)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和纸质档案原件情况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选择相应的扫描设备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应保证扫描后数字图像清晰、完整、不失真，图像效果最接近档案原貌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宜全部采用彩色模式进行扫描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其分辨率应选择≥300dpi。扫描图像缩放比应为100%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。</w:t>
      </w:r>
    </w:p>
    <w:p w14:paraId="076E3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数字图像去污处理应遵循展现档案原貌的原则，处理过程中不得去除档案页面原有的纸张褪变斑点、水渍、污点、装订孔等痕迹。</w:t>
      </w:r>
    </w:p>
    <w:p w14:paraId="2AC1B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纸质档案数字图像保存格式统一为JPEG或TIFF通用格式，JPEG压缩品质采用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高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以上级别。同时根据使用的数字档案系统要求将图像转换为一套PDF（或OFD）格式。</w:t>
      </w:r>
    </w:p>
    <w:p w14:paraId="26799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）著录。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按照《档案著录规则》(DA/T18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-2022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)的要求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，著录内容应完整、准确、规范，格式统一，要素齐全，表述清晰，与实体档案一一对应，便于检索利用。</w:t>
      </w:r>
    </w:p>
    <w:p w14:paraId="7B662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（3）数据挂接。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图像处理和目录数据录入完成后进行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数据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挂接，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实现档案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目录数据与数字图像的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精准匹配，做到挂接数据完整规范，数字图像页数、排列顺序与实体档案完全一致，电子文件正常读取，无漏挂、错挂、重挂、乱序等现象，满足档案检索调用和长期保管的质量要求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。</w:t>
      </w:r>
    </w:p>
    <w:p w14:paraId="72793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）全宗卷编制。依据《全宗卷规范》（DA/T12-2012）标准规范，以8个类别编制，形成档案管理过程卷宗，包括档案收集、整理、鉴定、保管、统计、利用、信息技术应用等方面，内容完整、逻辑清晰。</w:t>
      </w:r>
    </w:p>
    <w:p w14:paraId="4E1713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）档案归还入库。数字化加工结束后实体档案归还入库，应遵照原貌恢复装订，对案卷质量进行检查，核查无误进行交接归库。</w:t>
      </w:r>
    </w:p>
    <w:p w14:paraId="1B1442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）数据安全与备份。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为保证数据安全，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数字化成果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完整数据应及时进行备份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采用硬盘及其他载体同时备份，同一套数据原则上应制作三套备份数据，一套封存，一套异地保存，一套提供利用。涉密数据与非涉密数据应分开备份，单独存储。</w:t>
      </w:r>
    </w:p>
    <w:p w14:paraId="11CA7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7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）验收与移交。数字化全部成果和纸质档案须通过省档案馆组织的专家验收，取得书面验收合格意见，并按要求完成全部移交进馆工作。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验收合格的数字化成果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完整数据，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包括原始数据及相关说明性文件应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全部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移交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我厅，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并履行交接手续。</w:t>
      </w:r>
    </w:p>
    <w:p w14:paraId="31E32C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8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）数据质量。供应商应对所提交的数字化加工数据质量终身负责。</w:t>
      </w:r>
    </w:p>
    <w:p w14:paraId="1A117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（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9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设备扩容升级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。对档案管理设备进行扩容升级和性能优化，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保证所有数据安全备份，确保现有档案管理软件所有功能正常使用，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满足档案管理需求。扩容升级后管理设备应运行稳定，响应速度满足日常档案查询利用，无卡顿、无数据丢失风险，预留一定扩容空间，并提供不少于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2年的档案管理软件维护服务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。</w:t>
      </w:r>
    </w:p>
    <w:p w14:paraId="7BFD79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u w:val="none"/>
          <w:lang w:val="zh-CN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u w:val="none"/>
          <w:lang w:val="zh-CN" w:eastAsia="zh-CN" w:bidi="ar-SA"/>
        </w:rPr>
        <w:t>硬件配置要求：CPU：至强E-2478八核，内存：64G，硬盘512G+8T企业级，集成显卡，扩展槽：1×PCle5.0，3×PCle4.0，内部硬盘位数：4×3.5热插拔SATA/SAS，可扩至8盘位，网络控制器：2×千兆网口，1×管理口。</w:t>
      </w:r>
    </w:p>
    <w:p w14:paraId="3749D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zh-CN" w:eastAsia="zh-CN" w:bidi="ar-SA"/>
        </w:rPr>
        <w:t>性能要求：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100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并发用户条件下，典型业务响应时间不超过1秒，服务器各项资源消耗正常；系统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功能的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简单操作控制在2秒以内，一般查询控制在5—8秒，复合查询小于30秒；系统平均无故障时间大于1000小时，数据库平均恢复时间小于2小时，系统平均恢复时间小于4小时；系统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在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采用漏洞扫描和模拟攻击方法进行测试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中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zh-CN" w:eastAsia="zh-CN" w:bidi="ar-SA"/>
        </w:rPr>
        <w:t>，不能存在高、中级别安全问题。</w:t>
      </w:r>
    </w:p>
    <w:p w14:paraId="37901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zh-CN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zh-CN" w:eastAsia="zh-CN"/>
        </w:rPr>
        <w:t>六、工作要求</w:t>
      </w:r>
    </w:p>
    <w:p w14:paraId="79C109B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79" w:lineRule="exact"/>
        <w:ind w:left="0" w:leftChars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（一）人员配置要求。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供应商须配备足够数量且具备相应资质和经验的驻场工作人员。其中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，项目经理至少1名，须具备档案数字化项目管理的实践经验，熟悉相关标准规范和业务流程；技术负责人至少1名，须熟悉档案数字化相关技术标准，能够解决项目实施中的技术问题；加工人员至少12人，根据工作量和工期要求合理配置；质检人员数量不得少于加工人员总数的百分之十，专职负责质量检查工作。</w:t>
      </w:r>
    </w:p>
    <w:p w14:paraId="1B44207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79" w:lineRule="exact"/>
        <w:ind w:left="0" w:leftChars="0" w:right="0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保密管理要求。档案管理人员和供应商工作人员均应树立保密观念，严格遵守《档案法》和《保密法》。所有参与项目加工人员，均须签订书面保密协议，明确保密义务和违约责任。加工人员一律不准在无关人员面前谈论有关档案内容，不得在私人通信中暴露档案内容，不得以任何方式将档案私自带出数字化加工场地或外传，对档案内容不得摘抄、拍照、翻印或复制。档案加工场所严禁携带手机、U盘、相机等可存储设备。加工期间所使用的电子设备、存储装置严禁带出加工场所。</w:t>
      </w:r>
    </w:p>
    <w:p w14:paraId="70F3827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79" w:lineRule="exact"/>
        <w:ind w:left="0" w:leftChars="0" w:right="0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（三）加工场所。档案数字化加工场所及相关水电由采购方提供，符合防盗、防火、防尘、防水、防潮、防高温、防日光及紫外线照射、防有害生物、防污染等安全管理要求。场所内应安装视频监控系统，全覆盖档案数字化加工场所的出入口、档案存放区、信息存储区和工作区，无监控死角。全方位监控数据自产生之日起保存不少于6个月（涉密项目视频监控需全程留存）。</w:t>
      </w:r>
    </w:p>
    <w:p w14:paraId="128C296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79" w:lineRule="exact"/>
        <w:ind w:left="0" w:leftChars="0" w:right="0" w:firstLine="480" w:firstLineChars="200"/>
        <w:jc w:val="both"/>
        <w:textAlignment w:val="auto"/>
        <w:outlineLvl w:val="2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（四）技术设备。本项目所需的计算机、打印机、扫描仪、存储设备、交换机、监控设备、软件系统及所有耗材由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供应商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自备，且必须采用技术手段和物理设备封闭所有不必要的信息输出端口。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eastAsia="zh-CN"/>
        </w:rPr>
        <w:t>所涉及的存储介质（包括但不限于计算机硬盘、存储设备硬盘、监控设备内置或外接的存储介质）序列号均需向采购方书面备案，离场时存储介质全部无偿留归采购方，供应商不得携带任何存储介质离场。软件系统应为正版软件，数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据安全与网络监控硬件须通过国家安全认证。</w:t>
      </w:r>
    </w:p>
    <w:p w14:paraId="0441FE26"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eastAsia="zh-CN"/>
        </w:rPr>
        <w:t>（五）管理制度。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供应商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应制定科学化、规范化的管理制度，并在工作过程中严格执行，以有效保障档案安全和数字化成果质量。应包括岗位管理、人员管理、保密管理、进度管理、场地管理、设备管理、数据管理、档案实体管理等方面的制度和风险控制与应急预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2F0ADF"/>
    <w:rsid w:val="01A21D3D"/>
    <w:rsid w:val="1193410E"/>
    <w:rsid w:val="1360023A"/>
    <w:rsid w:val="17503798"/>
    <w:rsid w:val="1E4A2212"/>
    <w:rsid w:val="2AC04827"/>
    <w:rsid w:val="33CD5EE0"/>
    <w:rsid w:val="3AE3337B"/>
    <w:rsid w:val="4A5516B4"/>
    <w:rsid w:val="6D2F0ADF"/>
    <w:rsid w:val="712133CC"/>
    <w:rsid w:val="7B3B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76" w:lineRule="exact"/>
      <w:ind w:firstLine="561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/>
      <w:b/>
      <w:sz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2"/>
    </w:pPr>
    <w:rPr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jc w:val="center"/>
      <w:outlineLvl w:val="3"/>
    </w:pPr>
    <w:rPr>
      <w:rFonts w:ascii="Arial" w:hAnsi="Arial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2026-06-22T09:37:00Z</dcterms:created>
  <dc:creator>绿军装的梦</dc:creator>
  <cp:lastModifiedBy>绿军装的梦</cp:lastModifiedBy>
  <dcterms:modified xsi:type="dcterms:W3CDTF">2026-06-22T09:37:55Z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C7B7A3EE9EFA4928BE0765842ADA1296_11</vt:lpwstr>
  </property>
  <property fmtid="{D5CDD505-2E9C-101B-9397-08002B2CF9AE}" pid="4" name="KSOTemplateDocerSaveRecord">
    <vt:lpwstr>eyJoZGlkIjoiMTRhMDRjM2IwN2Q3NzdjZDIyNzg3NGFkNjIxODBmMTciLCJ1c2VySWQiOiIyNTUwMzE5MDEifQ==</vt:lpwstr>
  </property>
</Properties>
</file>