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版本号：HSGJ2026-24220260903001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西安市2026年“数商兴农庆丰收”主题活动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HSGJ2026-242</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西安市2026年“数商兴农庆丰收”主题活动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HSGJ2026-242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西安市2026年“数商兴农庆丰收”主题活动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西安市2026年“数商兴农庆丰收”主题活动，具体内容详见第三章。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采购包1（西安市2026年“数商兴农庆丰收”主题活动）：属于专门面向中小企业采购。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报告：提供经审计的2025年度完整有效的财务报告（财务报告是指经会计师事务所审计的上述指定年度整个会计年度财务报表,复印件至少须包括报告正文、资产负债表、现金流量表、利润表、附注和会计师事务所营业执照，会计师事务所执业证书、注册会计师证书、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11、中小企业声明：本项目专门面向中小企业采购，须符合《政府采购促进中小企业发展管理办法》（财库〔2020〕46号）规定的中小企业参加，符合要求的监狱企业或残疾人福利单位视同小微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029-86786530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曹美奇、付越豪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代理服务费收费标准：按照国家计委颁布的《招标代理服务收费管理暂行办法》（计价格『2002』1980号）及发改办价格『2003』857号文规定按服务类收取代理服务费，不足3000元的按3000元整。 银行户名：华晟国际项目管理有限公司 开户银行：建设银行西安劳动路支行 账 号：610501 740015 00000 427 转账事由：HSGJ2026-242项目代理服务费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2、最终验收：中标单位在成果交付后10个工作日内提出验收申请后7工作日内开展验收工作。 3、验收和评价方式 3.1 乙方提供的服务最终验收达不到磋商文件要求和磋商响应文件承诺及国家或行业标准，或在使用中发现甲方不能容忍的缺陷等，将视为验收不合格，乙方应在甲方要求的时间内无条件完善或要求赔付采购人损失。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联系人：曹美奇、付越豪</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商务部等九部门《关于推动农村电商高质量发展的实施意见》，响应商务部“数商兴农庆丰收”主题活动安排，展示农村特色产品，为乡村振兴注入数字动能，打通农产品上行通道，开展西安市2026年“数商兴农 庆丰收”主题活动。本次采购西安市2026年“数商兴农庆丰收”主题活动项目策划执行服务。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西安市2026年数商兴农庆丰收主题活动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标的名称：西安市2026年数商兴农庆丰收主题活动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一、项目概况</w:t>
            </w:r>
          </w:p>
          <w:p>
            <w:pPr>
              <w:pStyle w:val="null3"/>
              <w:ind w:firstLine="464"/>
              <w:jc w:val="both"/>
            </w:pPr>
            <w:r>
              <w:rPr>
                <w:rFonts w:ascii="仿宋_GB2312" w:hAnsi="仿宋_GB2312" w:cs="仿宋_GB2312" w:eastAsia="仿宋_GB2312"/>
                <w:sz w:val="21"/>
                <w:color w:val="000000"/>
              </w:rPr>
              <w:t>为落实商务部等九部门《关于推动农村电商高质量发展的实施意见》，响应商务部“数商兴农庆丰收”主题活动安排，展示农村特色产品，为乡村振兴注入数字动能，打通农产品上行通道，开展西安市2026年“数商兴农 庆丰收”主题活动。本次采购西安市2026年“数商兴农 庆丰收”主题活动项目策划执行服务。</w:t>
            </w:r>
          </w:p>
          <w:p>
            <w:pPr>
              <w:pStyle w:val="null3"/>
              <w:ind w:firstLine="420"/>
              <w:jc w:val="both"/>
            </w:pPr>
            <w:r>
              <w:rPr>
                <w:rFonts w:ascii="仿宋_GB2312" w:hAnsi="仿宋_GB2312" w:cs="仿宋_GB2312" w:eastAsia="仿宋_GB2312"/>
                <w:sz w:val="21"/>
                <w:color w:val="000000"/>
              </w:rPr>
              <w:t>二、服务内容（包括工作区域、工作）</w:t>
            </w:r>
          </w:p>
          <w:p>
            <w:pPr>
              <w:pStyle w:val="null3"/>
              <w:ind w:firstLine="464"/>
              <w:jc w:val="both"/>
            </w:pPr>
            <w:r>
              <w:rPr>
                <w:rFonts w:ascii="仿宋_GB2312" w:hAnsi="仿宋_GB2312" w:cs="仿宋_GB2312" w:eastAsia="仿宋_GB2312"/>
                <w:sz w:val="21"/>
                <w:color w:val="000000"/>
              </w:rPr>
              <w:t>（一）围绕“数商兴农 庆丰收”主题，策划整体活动方案并组织实施，活动主要内容包括电商平台活动专区、线下集市、资源对接会、“新农人”专题培训、溯源直播、进社区活动等。参与各项活动的本地品牌农产品供应商、本地品牌产品企业、农村电商企业数量不低于80家，其中限额以上企业不少于20家。</w:t>
            </w:r>
          </w:p>
          <w:p>
            <w:pPr>
              <w:pStyle w:val="null3"/>
              <w:ind w:firstLine="464"/>
              <w:jc w:val="both"/>
            </w:pPr>
            <w:r>
              <w:rPr>
                <w:rFonts w:ascii="仿宋_GB2312" w:hAnsi="仿宋_GB2312" w:cs="仿宋_GB2312" w:eastAsia="仿宋_GB2312"/>
                <w:sz w:val="21"/>
                <w:color w:val="000000"/>
              </w:rPr>
              <w:t>（二）搭建“数商兴农 庆丰收”电商平台活动专区。联合综合性电商平台2家，搭建西安市2026年“数商兴农 庆丰收”主题活动专区展销西安特色农产品不少于30天。</w:t>
            </w:r>
          </w:p>
          <w:p>
            <w:pPr>
              <w:pStyle w:val="null3"/>
              <w:ind w:firstLine="464"/>
              <w:jc w:val="both"/>
            </w:pPr>
            <w:r>
              <w:rPr>
                <w:rFonts w:ascii="仿宋_GB2312" w:hAnsi="仿宋_GB2312" w:cs="仿宋_GB2312" w:eastAsia="仿宋_GB2312"/>
                <w:sz w:val="21"/>
                <w:color w:val="000000"/>
              </w:rPr>
              <w:t>（三）组织线下市集活动。活动组织3天，现场设置主会场区域及50个展位，展品主要为涉农产品、深加工产品、西安老字号、非遗文化展示及相关政策宣讲等，参展企业不少于40家。搭建1个直播功能区不定时同步开展现场直播推广销售，现场直播带货不少于50场。主会场发布“数商兴农庆丰收”主题活动及配套促销方案等。</w:t>
            </w:r>
          </w:p>
          <w:p>
            <w:pPr>
              <w:pStyle w:val="null3"/>
              <w:ind w:firstLine="464"/>
              <w:jc w:val="both"/>
            </w:pPr>
            <w:r>
              <w:rPr>
                <w:rFonts w:ascii="仿宋_GB2312" w:hAnsi="仿宋_GB2312" w:cs="仿宋_GB2312" w:eastAsia="仿宋_GB2312"/>
                <w:sz w:val="21"/>
                <w:color w:val="000000"/>
              </w:rPr>
              <w:t>（四）组织资源对接，邀请电商平台、MCN机构、三农达人、私域团长、食品领域垂直类账号、西安市涉农企业、农村合作社等电商服务主体不少于50家参与活动，活动组织2场。</w:t>
            </w:r>
          </w:p>
          <w:p>
            <w:pPr>
              <w:pStyle w:val="null3"/>
              <w:ind w:firstLine="464"/>
              <w:jc w:val="both"/>
            </w:pPr>
            <w:r>
              <w:rPr>
                <w:rFonts w:ascii="仿宋_GB2312" w:hAnsi="仿宋_GB2312" w:cs="仿宋_GB2312" w:eastAsia="仿宋_GB2312"/>
                <w:sz w:val="21"/>
                <w:color w:val="000000"/>
              </w:rPr>
              <w:t>（五）开展4场“新农人”专题培训，主要讲授《电子商务法》等相关从业法律知识、直播带货、电商运营、短视频拍摄制作等相关知识。单场线上直播观看人数1000+，线下实训100人以上。培训对象包含农村创业者、种养大户、村干部、返乡青年、电商服务站工作人员、农副产品销售从业者等。</w:t>
            </w:r>
          </w:p>
          <w:p>
            <w:pPr>
              <w:pStyle w:val="null3"/>
              <w:ind w:firstLine="464"/>
              <w:jc w:val="both"/>
            </w:pPr>
            <w:r>
              <w:rPr>
                <w:rFonts w:ascii="仿宋_GB2312" w:hAnsi="仿宋_GB2312" w:cs="仿宋_GB2312" w:eastAsia="仿宋_GB2312"/>
                <w:sz w:val="21"/>
                <w:color w:val="000000"/>
              </w:rPr>
              <w:t>（六）开展溯源直播带货专场活动。组织溯源直播10场，要求单平台粉丝量过50万主播不少于2人，每场不少于4个小时，选择农产品种植基地、产品深加工企业的生产基地等场景作为直播现场，实现直播间与生产基地实景实时联动。</w:t>
            </w:r>
          </w:p>
          <w:p>
            <w:pPr>
              <w:pStyle w:val="null3"/>
              <w:ind w:firstLine="464"/>
              <w:jc w:val="both"/>
            </w:pPr>
            <w:r>
              <w:rPr>
                <w:rFonts w:ascii="仿宋_GB2312" w:hAnsi="仿宋_GB2312" w:cs="仿宋_GB2312" w:eastAsia="仿宋_GB2312"/>
                <w:sz w:val="21"/>
                <w:color w:val="000000"/>
              </w:rPr>
              <w:t>（七）组织开展进社区活动，通过展销会形式，将乡村优质农产品直接引入社区。选取西安大型社区中心广场（优先选择入住率高、有开阔活动空间的社区）开展5场进社区活动，每场时间不少于1天，每场参与活动企业不少于30家。搭建展台不少于30个，同时搭建1个共享直播间开展直播促销活动。选择居民日常刚需的农产品或深加工制品，涵盖陕西新鲜瓜果、粮油米面、干货特产、禽蛋肉类、果汁饮品等。</w:t>
            </w:r>
          </w:p>
          <w:p>
            <w:pPr>
              <w:pStyle w:val="null3"/>
              <w:ind w:firstLine="464"/>
              <w:jc w:val="both"/>
            </w:pPr>
            <w:r>
              <w:rPr>
                <w:rFonts w:ascii="仿宋_GB2312" w:hAnsi="仿宋_GB2312" w:cs="仿宋_GB2312" w:eastAsia="仿宋_GB2312"/>
                <w:sz w:val="21"/>
                <w:color w:val="000000"/>
              </w:rPr>
              <w:t>（八）参与活动企业服务满意度达到90%以上。</w:t>
            </w:r>
          </w:p>
          <w:p>
            <w:pPr>
              <w:pStyle w:val="null3"/>
              <w:ind w:firstLine="464"/>
              <w:jc w:val="both"/>
            </w:pPr>
            <w:r>
              <w:rPr>
                <w:rFonts w:ascii="仿宋_GB2312" w:hAnsi="仿宋_GB2312" w:cs="仿宋_GB2312" w:eastAsia="仿宋_GB2312"/>
                <w:sz w:val="21"/>
                <w:color w:val="000000"/>
              </w:rPr>
              <w:t>（九）负责活动所需所有场景的场地租赁、设计搭建及氛围营造等。</w:t>
            </w:r>
          </w:p>
          <w:p>
            <w:pPr>
              <w:pStyle w:val="null3"/>
              <w:ind w:firstLine="464"/>
              <w:jc w:val="both"/>
            </w:pPr>
            <w:r>
              <w:rPr>
                <w:rFonts w:ascii="仿宋_GB2312" w:hAnsi="仿宋_GB2312" w:cs="仿宋_GB2312" w:eastAsia="仿宋_GB2312"/>
                <w:sz w:val="21"/>
                <w:color w:val="000000"/>
              </w:rPr>
              <w:t>（十）负责与参与活动的达人、平台、本地企业做好商务对接。</w:t>
            </w:r>
          </w:p>
          <w:p>
            <w:pPr>
              <w:pStyle w:val="null3"/>
              <w:ind w:firstLine="464"/>
              <w:jc w:val="both"/>
            </w:pPr>
            <w:r>
              <w:rPr>
                <w:rFonts w:ascii="仿宋_GB2312" w:hAnsi="仿宋_GB2312" w:cs="仿宋_GB2312" w:eastAsia="仿宋_GB2312"/>
                <w:sz w:val="21"/>
                <w:color w:val="000000"/>
              </w:rPr>
              <w:t>（十一）负责活动前期线上预热引流，统筹活动全过程网上宣发、动态推送等工作。</w:t>
            </w:r>
          </w:p>
          <w:p>
            <w:pPr>
              <w:pStyle w:val="null3"/>
              <w:ind w:firstLine="464"/>
              <w:jc w:val="both"/>
            </w:pPr>
            <w:r>
              <w:rPr>
                <w:rFonts w:ascii="仿宋_GB2312" w:hAnsi="仿宋_GB2312" w:cs="仿宋_GB2312" w:eastAsia="仿宋_GB2312"/>
                <w:sz w:val="21"/>
                <w:color w:val="000000"/>
              </w:rPr>
              <w:t>（十二）活动实施地点主要为我市涉农区县。</w:t>
            </w:r>
          </w:p>
          <w:p>
            <w:pPr>
              <w:pStyle w:val="null3"/>
              <w:ind w:firstLine="420"/>
              <w:jc w:val="both"/>
            </w:pPr>
            <w:r>
              <w:rPr>
                <w:rFonts w:ascii="仿宋_GB2312" w:hAnsi="仿宋_GB2312" w:cs="仿宋_GB2312" w:eastAsia="仿宋_GB2312"/>
                <w:sz w:val="21"/>
                <w:color w:val="000000"/>
              </w:rPr>
              <w:t>三、技术要求（如有，一般适合于技术服务项目）</w:t>
            </w:r>
          </w:p>
          <w:p>
            <w:pPr>
              <w:pStyle w:val="null3"/>
              <w:ind w:firstLine="464"/>
              <w:jc w:val="both"/>
            </w:pPr>
            <w:r>
              <w:rPr>
                <w:rFonts w:ascii="仿宋_GB2312" w:hAnsi="仿宋_GB2312" w:cs="仿宋_GB2312" w:eastAsia="仿宋_GB2312"/>
                <w:sz w:val="21"/>
                <w:color w:val="000000"/>
              </w:rPr>
              <w:t>（一)有直播活动组织经验，搭建符合达人直播要求的直播间，保障网络及声光电设备畅通；</w:t>
            </w:r>
          </w:p>
          <w:p>
            <w:pPr>
              <w:pStyle w:val="null3"/>
              <w:ind w:firstLine="464"/>
              <w:jc w:val="both"/>
            </w:pPr>
            <w:r>
              <w:rPr>
                <w:rFonts w:ascii="仿宋_GB2312" w:hAnsi="仿宋_GB2312" w:cs="仿宋_GB2312" w:eastAsia="仿宋_GB2312"/>
                <w:sz w:val="21"/>
                <w:color w:val="000000"/>
              </w:rPr>
              <w:t>（二）具备举办此次活动资源整合、组织与服务能力。</w:t>
            </w:r>
          </w:p>
          <w:p>
            <w:pPr>
              <w:pStyle w:val="null3"/>
              <w:ind w:firstLine="420"/>
              <w:jc w:val="both"/>
            </w:pPr>
            <w:r>
              <w:rPr>
                <w:rFonts w:ascii="仿宋_GB2312" w:hAnsi="仿宋_GB2312" w:cs="仿宋_GB2312" w:eastAsia="仿宋_GB2312"/>
                <w:sz w:val="21"/>
                <w:color w:val="000000"/>
              </w:rPr>
              <w:t>四、服务要求（如对人员配置、专业设备、服务标准等）</w:t>
            </w:r>
          </w:p>
          <w:p>
            <w:pPr>
              <w:pStyle w:val="null3"/>
              <w:ind w:firstLine="464"/>
              <w:jc w:val="both"/>
            </w:pPr>
            <w:r>
              <w:rPr>
                <w:rFonts w:ascii="仿宋_GB2312" w:hAnsi="仿宋_GB2312" w:cs="仿宋_GB2312" w:eastAsia="仿宋_GB2312"/>
                <w:sz w:val="21"/>
                <w:color w:val="000000"/>
              </w:rPr>
              <w:t>（一）策划要求：围绕活动主题，完成总体方案设计，方案中包括策划服务方案、培训方案、宣发方案、溯源直播及带货规划等。</w:t>
            </w:r>
          </w:p>
          <w:p>
            <w:pPr>
              <w:pStyle w:val="null3"/>
              <w:ind w:firstLine="464"/>
              <w:jc w:val="both"/>
            </w:pPr>
            <w:r>
              <w:rPr>
                <w:rFonts w:ascii="仿宋_GB2312" w:hAnsi="仿宋_GB2312" w:cs="仿宋_GB2312" w:eastAsia="仿宋_GB2312"/>
                <w:sz w:val="21"/>
                <w:color w:val="000000"/>
              </w:rPr>
              <w:t>（二）功能要求：联合电商平台2家搭建活动专区，活动专区展销西安特色农产品不少于30天。线下集市主会场超过100席位，展台50个，搭建1个直播功能区。组织以农产品为主的溯源直播专场活动不低于10场，单平台粉丝量过50万主播不少于2人；邀请三农达人、私域团长、食品领域垂直类账号合计不少于15人（个），其中单平台百万粉丝数三农达人、跟团人数1万+私域top级团长、百万级食品领域垂直类账号合计不少于5人（个）；参与电商平台、品牌农产品供应商、本地品牌产品企业、农村电商企业数量达到80家以上，其中限额以上企业不少于20家；配套开展不少于2场的资源对接会，不少于4场“新农人”培训，5场进社区活动。</w:t>
            </w:r>
          </w:p>
          <w:p>
            <w:pPr>
              <w:pStyle w:val="null3"/>
              <w:ind w:firstLine="464"/>
              <w:jc w:val="both"/>
            </w:pPr>
            <w:r>
              <w:rPr>
                <w:rFonts w:ascii="仿宋_GB2312" w:hAnsi="仿宋_GB2312" w:cs="仿宋_GB2312" w:eastAsia="仿宋_GB2312"/>
                <w:sz w:val="21"/>
                <w:color w:val="000000"/>
              </w:rPr>
              <w:t>（三）定位要求：以促进我市特色农产品网络销售为核心设计组织活动。</w:t>
            </w:r>
          </w:p>
          <w:p>
            <w:pPr>
              <w:pStyle w:val="null3"/>
              <w:ind w:firstLine="464"/>
              <w:jc w:val="both"/>
            </w:pPr>
            <w:r>
              <w:rPr>
                <w:rFonts w:ascii="仿宋_GB2312" w:hAnsi="仿宋_GB2312" w:cs="仿宋_GB2312" w:eastAsia="仿宋_GB2312"/>
                <w:sz w:val="21"/>
                <w:color w:val="000000"/>
              </w:rPr>
              <w:t>（四）执行要求：供应商必须按磋商文件的要求，在规定的时间内，完成活动策划方案。根据甲方需要对方案进行完善后严格执行方案，确保活动效果。</w:t>
            </w:r>
          </w:p>
          <w:p>
            <w:pPr>
              <w:pStyle w:val="null3"/>
              <w:ind w:firstLine="464"/>
              <w:jc w:val="both"/>
            </w:pPr>
            <w:r>
              <w:rPr>
                <w:rFonts w:ascii="仿宋_GB2312" w:hAnsi="仿宋_GB2312" w:cs="仿宋_GB2312" w:eastAsia="仿宋_GB2312"/>
                <w:sz w:val="21"/>
                <w:color w:val="000000"/>
              </w:rPr>
              <w:t>（五）安全要求：结合实际，制订安防预案，严格抓好落实，在确保安全前提下组织实施活动。</w:t>
            </w:r>
          </w:p>
          <w:p>
            <w:pPr>
              <w:pStyle w:val="null3"/>
              <w:ind w:firstLine="420"/>
              <w:jc w:val="both"/>
            </w:pPr>
            <w:r>
              <w:rPr>
                <w:rFonts w:ascii="仿宋_GB2312" w:hAnsi="仿宋_GB2312" w:cs="仿宋_GB2312" w:eastAsia="仿宋_GB2312"/>
                <w:sz w:val="21"/>
                <w:color w:val="000000"/>
              </w:rPr>
              <w:t>五、商务要求</w:t>
            </w:r>
          </w:p>
          <w:p>
            <w:pPr>
              <w:pStyle w:val="null3"/>
              <w:ind w:firstLine="420"/>
              <w:jc w:val="both"/>
            </w:pPr>
            <w:r>
              <w:rPr>
                <w:rFonts w:ascii="仿宋_GB2312" w:hAnsi="仿宋_GB2312" w:cs="仿宋_GB2312" w:eastAsia="仿宋_GB2312"/>
                <w:sz w:val="21"/>
                <w:color w:val="000000"/>
              </w:rPr>
              <w:t>（一）服务期限</w:t>
            </w:r>
          </w:p>
          <w:p>
            <w:pPr>
              <w:pStyle w:val="null3"/>
              <w:ind w:firstLine="464"/>
              <w:jc w:val="both"/>
            </w:pPr>
            <w:r>
              <w:rPr>
                <w:rFonts w:ascii="仿宋_GB2312" w:hAnsi="仿宋_GB2312" w:cs="仿宋_GB2312" w:eastAsia="仿宋_GB2312"/>
                <w:sz w:val="21"/>
                <w:color w:val="000000"/>
              </w:rPr>
              <w:t>自合同签订之日起至2026年10月31日止。</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w:t>
            </w:r>
            <w:r>
              <w:rPr>
                <w:rFonts w:ascii="仿宋_GB2312" w:hAnsi="仿宋_GB2312" w:cs="仿宋_GB2312" w:eastAsia="仿宋_GB2312"/>
                <w:sz w:val="21"/>
                <w:color w:val="000000"/>
              </w:rPr>
              <w:t>款项结算</w:t>
            </w:r>
          </w:p>
          <w:p>
            <w:pPr>
              <w:pStyle w:val="null3"/>
              <w:ind w:firstLine="464"/>
              <w:jc w:val="both"/>
            </w:pPr>
            <w:r>
              <w:rPr>
                <w:rFonts w:ascii="仿宋_GB2312" w:hAnsi="仿宋_GB2312" w:cs="仿宋_GB2312" w:eastAsia="仿宋_GB2312"/>
                <w:sz w:val="21"/>
                <w:color w:val="000000"/>
              </w:rPr>
              <w:t>合同签订后、完成策划方案并经我局审定同意，且收到供应商提供的合规发票，达到付款条件15日内支付合同总价款的60%；</w:t>
            </w:r>
          </w:p>
          <w:p>
            <w:pPr>
              <w:pStyle w:val="null3"/>
              <w:ind w:firstLine="464"/>
              <w:jc w:val="both"/>
            </w:pPr>
            <w:r>
              <w:rPr>
                <w:rFonts w:ascii="仿宋_GB2312" w:hAnsi="仿宋_GB2312" w:cs="仿宋_GB2312" w:eastAsia="仿宋_GB2312"/>
                <w:sz w:val="21"/>
                <w:color w:val="000000"/>
              </w:rPr>
              <w:t>服务结束、验收合格后并经我局审定同意，收到供应商提供的合规发票，达到付款条件15日内支付剩余合同价款。</w:t>
            </w:r>
          </w:p>
          <w:p>
            <w:pPr>
              <w:pStyle w:val="null3"/>
              <w:ind w:firstLine="420"/>
              <w:jc w:val="both"/>
            </w:pPr>
            <w:r>
              <w:rPr>
                <w:rFonts w:ascii="仿宋_GB2312" w:hAnsi="仿宋_GB2312" w:cs="仿宋_GB2312" w:eastAsia="仿宋_GB2312"/>
                <w:sz w:val="21"/>
                <w:color w:val="000000"/>
              </w:rPr>
              <w:t>六、其他（如有要求，请写明）</w:t>
            </w:r>
          </w:p>
          <w:p>
            <w:pPr>
              <w:pStyle w:val="null3"/>
              <w:ind w:firstLine="456"/>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服务商的业绩要求</w:t>
            </w:r>
          </w:p>
          <w:p>
            <w:pPr>
              <w:pStyle w:val="null3"/>
              <w:ind w:firstLine="464"/>
              <w:jc w:val="both"/>
            </w:pPr>
            <w:r>
              <w:rPr>
                <w:rFonts w:ascii="仿宋_GB2312" w:hAnsi="仿宋_GB2312" w:cs="仿宋_GB2312" w:eastAsia="仿宋_GB2312"/>
                <w:sz w:val="21"/>
                <w:color w:val="000000"/>
              </w:rPr>
              <w:t>供应商需提供类似项目业绩合同。</w:t>
            </w:r>
          </w:p>
          <w:p>
            <w:pPr>
              <w:pStyle w:val="null3"/>
              <w:ind w:firstLine="420"/>
              <w:jc w:val="both"/>
            </w:pPr>
            <w:r>
              <w:rPr>
                <w:rFonts w:ascii="仿宋_GB2312" w:hAnsi="仿宋_GB2312" w:cs="仿宋_GB2312" w:eastAsia="仿宋_GB2312"/>
                <w:sz w:val="21"/>
                <w:color w:val="000000"/>
              </w:rPr>
              <w:t>（二）进度要求</w:t>
            </w:r>
          </w:p>
          <w:p>
            <w:pPr>
              <w:pStyle w:val="null3"/>
              <w:ind w:firstLine="464"/>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签订合同后五个工作日内完成本次活动所需的整体方案策划设计；</w:t>
            </w:r>
          </w:p>
          <w:p>
            <w:pPr>
              <w:pStyle w:val="null3"/>
              <w:ind w:firstLine="464"/>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合同履约结束后</w:t>
            </w:r>
            <w:r>
              <w:rPr>
                <w:rFonts w:ascii="仿宋_GB2312" w:hAnsi="仿宋_GB2312" w:cs="仿宋_GB2312" w:eastAsia="仿宋_GB2312"/>
                <w:sz w:val="21"/>
                <w:color w:val="000000"/>
              </w:rPr>
              <w:t>20</w:t>
            </w:r>
            <w:r>
              <w:rPr>
                <w:rFonts w:ascii="仿宋_GB2312" w:hAnsi="仿宋_GB2312" w:cs="仿宋_GB2312" w:eastAsia="仿宋_GB2312"/>
                <w:sz w:val="21"/>
                <w:color w:val="000000"/>
              </w:rPr>
              <w:t>日内完成资料整理、总结等工作。</w:t>
            </w:r>
          </w:p>
          <w:p>
            <w:pPr>
              <w:pStyle w:val="null3"/>
              <w:ind w:firstLine="452"/>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w:t>
            </w:r>
            <w:r>
              <w:rPr>
                <w:rFonts w:ascii="仿宋_GB2312" w:hAnsi="仿宋_GB2312" w:cs="仿宋_GB2312" w:eastAsia="仿宋_GB2312"/>
                <w:sz w:val="21"/>
                <w:color w:val="000000"/>
              </w:rPr>
              <w:t>成果交付</w:t>
            </w:r>
            <w:r>
              <w:rPr>
                <w:rFonts w:ascii="仿宋_GB2312" w:hAnsi="仿宋_GB2312" w:cs="仿宋_GB2312" w:eastAsia="仿宋_GB2312"/>
                <w:sz w:val="21"/>
                <w:color w:val="000000"/>
              </w:rPr>
              <w:t>要求</w:t>
            </w:r>
          </w:p>
          <w:p>
            <w:pPr>
              <w:pStyle w:val="null3"/>
              <w:ind w:firstLine="464"/>
              <w:jc w:val="both"/>
            </w:pPr>
            <w:r>
              <w:rPr>
                <w:rFonts w:ascii="仿宋_GB2312" w:hAnsi="仿宋_GB2312" w:cs="仿宋_GB2312" w:eastAsia="仿宋_GB2312"/>
                <w:sz w:val="21"/>
                <w:color w:val="000000"/>
              </w:rPr>
              <w:t>按合同约定条款，保质保量完成整体活动策划执行，以文、图、视频形式整理成完整验收报告。</w:t>
            </w:r>
          </w:p>
          <w:p>
            <w:pPr>
              <w:pStyle w:val="null3"/>
              <w:ind w:firstLine="456"/>
              <w:jc w:val="both"/>
            </w:pPr>
            <w:r>
              <w:rPr>
                <w:rFonts w:ascii="仿宋_GB2312" w:hAnsi="仿宋_GB2312" w:cs="仿宋_GB2312" w:eastAsia="仿宋_GB2312"/>
                <w:sz w:val="21"/>
                <w:color w:val="000000"/>
              </w:rPr>
              <w:t>（四</w:t>
            </w:r>
            <w:r>
              <w:rPr>
                <w:rFonts w:ascii="仿宋_GB2312" w:hAnsi="仿宋_GB2312" w:cs="仿宋_GB2312" w:eastAsia="仿宋_GB2312"/>
                <w:sz w:val="21"/>
                <w:color w:val="000000"/>
              </w:rPr>
              <w:t>）</w:t>
            </w:r>
            <w:r>
              <w:rPr>
                <w:rFonts w:ascii="仿宋_GB2312" w:hAnsi="仿宋_GB2312" w:cs="仿宋_GB2312" w:eastAsia="仿宋_GB2312"/>
                <w:sz w:val="21"/>
                <w:color w:val="000000"/>
              </w:rPr>
              <w:t>质</w:t>
            </w:r>
            <w:r>
              <w:rPr>
                <w:rFonts w:ascii="仿宋_GB2312" w:hAnsi="仿宋_GB2312" w:cs="仿宋_GB2312" w:eastAsia="仿宋_GB2312"/>
                <w:sz w:val="21"/>
                <w:color w:val="000000"/>
              </w:rPr>
              <w:t>量验收标准或规范</w:t>
            </w:r>
          </w:p>
          <w:p>
            <w:pPr>
              <w:pStyle w:val="null3"/>
              <w:ind w:firstLine="464"/>
              <w:jc w:val="both"/>
            </w:pPr>
            <w:r>
              <w:rPr>
                <w:rFonts w:ascii="仿宋_GB2312" w:hAnsi="仿宋_GB2312" w:cs="仿宋_GB2312" w:eastAsia="仿宋_GB2312"/>
                <w:sz w:val="21"/>
                <w:color w:val="000000"/>
              </w:rPr>
              <w:t>按照合同文本、磋商文件、磋商响应文件、供应商提供的服务内容资料汇编等进行逐项验收，各项指标均应符合验收标准及要求。</w:t>
            </w:r>
          </w:p>
          <w:p>
            <w:pPr>
              <w:pStyle w:val="null3"/>
              <w:ind w:firstLine="464"/>
              <w:jc w:val="both"/>
            </w:pPr>
            <w:r>
              <w:rPr>
                <w:rFonts w:ascii="仿宋_GB2312" w:hAnsi="仿宋_GB2312" w:cs="仿宋_GB2312" w:eastAsia="仿宋_GB2312"/>
                <w:sz w:val="21"/>
                <w:color w:val="000000"/>
              </w:rPr>
              <w:t>验收合格后，填写验收单，双方盖章、签字生效。</w:t>
            </w:r>
          </w:p>
          <w:p>
            <w:pPr>
              <w:pStyle w:val="null3"/>
              <w:ind w:firstLine="420"/>
              <w:jc w:val="both"/>
            </w:pPr>
            <w:r>
              <w:rPr>
                <w:rFonts w:ascii="仿宋_GB2312" w:hAnsi="仿宋_GB2312" w:cs="仿宋_GB2312" w:eastAsia="仿宋_GB2312"/>
                <w:sz w:val="21"/>
                <w:color w:val="000000"/>
              </w:rPr>
              <w:t>（五）保密条款</w:t>
            </w:r>
          </w:p>
          <w:p>
            <w:pPr>
              <w:pStyle w:val="null3"/>
              <w:ind w:firstLine="420"/>
              <w:jc w:val="both"/>
            </w:pPr>
            <w:r>
              <w:rPr>
                <w:rFonts w:ascii="仿宋_GB2312" w:hAnsi="仿宋_GB2312" w:cs="仿宋_GB2312" w:eastAsia="仿宋_GB2312"/>
                <w:sz w:val="21"/>
                <w:color w:val="000000"/>
              </w:rPr>
              <w:t>（六）违约责任</w:t>
            </w:r>
          </w:p>
          <w:p>
            <w:pPr>
              <w:pStyle w:val="null3"/>
              <w:ind w:firstLine="464"/>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按《民法典》中的相关条款执行。</w:t>
            </w:r>
          </w:p>
          <w:p>
            <w:pPr>
              <w:pStyle w:val="null3"/>
              <w:ind w:firstLine="464"/>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ind w:firstLine="464"/>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由于不可抗力因素造成无法按照原计划提供服务，双方互不追究违约责任。</w:t>
            </w:r>
          </w:p>
          <w:p>
            <w:pPr>
              <w:pStyle w:val="null3"/>
              <w:ind w:firstLine="464"/>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如有异议另行协商。</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1.按照合同文本、磋商文件、磋商响应文件、供应商提供的服务内容资料汇编等进行逐项验收，各项指标均应符合验收标准及要求。 2.验收合格后，填写验收单，双方盖章、签字生效。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进度款，合同签订后、完成策划方案并经我局审定同意，且收到供应商提供的合规发票，达到付款条件起15个工作日内，支付合同总金额的60.0%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进度款，服务结束、验收合格后并经我局审定同意，收到供应商提供的合规发票，达到付款条件起15个工作日内，支付合同总金额的40.0%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（1）服务范围：西安市2026年“数商兴农庆丰收”主题活动 （2）服务要求：满足采购服务要求及磋商文件要求；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财务报告是指经会计师事务所审计的上述指定年度整个会计年度财务报表,复印件至少须包括报告正文、资产负债表、现金流量表、利润表、附注和会计师事务所营业执照，会计师事务所执业证书、注册会计师证书、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中小企业声明函 报价表 分项报价明细表 服务需求响应表 响应文件封面 磋商响应方案说明 资格证明文件 类似项目业绩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中小企业声明函 报价表 分项报价明细表 服务需求响应表 响应文件封面 磋商响应方案说明 资格证明文件 类似项目业绩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报价表 分项报价明细表 服务需求响应表 响应文件封面 磋商响应方案说明 资格证明文件 类似项目业绩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分项报价明细表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项目实施组织计划与服务方案</w:t>
            </w:r>
          </w:p>
        </w:tc>
        <w:tc>
          <w:tcPr>
            <w:tcW w:type="dxa" w:w="2492"/>
          </w:tcPr>
          <w:p>
            <w:pPr>
              <w:pStyle w:val="null3"/>
            </w:pPr>
            <w:r>
              <w:rPr>
                <w:rFonts w:ascii="仿宋_GB2312" w:hAnsi="仿宋_GB2312" w:cs="仿宋_GB2312" w:eastAsia="仿宋_GB2312"/>
              </w:rPr>
              <w:t>针对本项目提供项目实施组织计划与服务方案，包括但不限于 ①项目背景和需求分析、思路及目标；②整体活动组织策划与服务方案；③策划执行服务及培训方案；④全程会务服务与组织执行和管理工作计划；⑤活动场地租赁、展位搭建、水电保障方案；⑥物料、氛围营造方案；⑦会场会议资料印制方案、活动策划组织宣发方案；⑧活动现场保洁等后勤保障方案；⑨邀请活动参展商策划组织方案；⑩重难点分析及解决方案。 评审标准：方案各部分内容全面详细、阐述条理清晰详尽、符合本项目采购需求，能保障本项目实施得20分；评审内容各部分内容每完全满足一项得2分，每项有一处缺陷扣0.5分，扣完为止。 （评审内容中的缺陷是指:存在不完全满足评分标准，但项目仍可实施；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针对本项目提供保障措施及应急预案，包括但不限于①安全管理制度及计划；②安保计划及安保设备配备方案；③紧急医疗救援方案；④应对突发事件的应急保障方案； 评审标准：方案各部分内容全面详细、阐述条理清晰详尽、符合本项目采购需求，能保障本项目实施得10分；评审内容各部分内容每完全满足一项得2.5分，每项有一处缺陷扣0.5分，扣完为止。（评审内容中的缺陷是指:存在不完全满足评分标准，但项目仍可实施；内容不完整或缺少关键点、脱离实际、可操作性差、内容描述过于简单、条理不清晰、非专门针对本项目或不适用本项目特性、套用其他项目内容；对同一问题前后表述矛盾；存在逻辑漏洞、科学原理或常识错误；不利于服务方案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活动资料及后期服务方案</w:t>
            </w:r>
          </w:p>
        </w:tc>
        <w:tc>
          <w:tcPr>
            <w:tcW w:type="dxa" w:w="2492"/>
          </w:tcPr>
          <w:p>
            <w:pPr>
              <w:pStyle w:val="null3"/>
            </w:pPr>
            <w:r>
              <w:rPr>
                <w:rFonts w:ascii="仿宋_GB2312" w:hAnsi="仿宋_GB2312" w:cs="仿宋_GB2312" w:eastAsia="仿宋_GB2312"/>
              </w:rPr>
              <w:t>供应商根据本项目特点，提供针对本项目的资料及后期服务方案。具体包括：①后期服务承诺；②影像资料存档及移交；③全过程资料的收集、整理；④资料完整移交方案。 评审标准：方案各部分内容全面详细、阐述条理清晰详尽、符合本项目采购需求，能保障本项目实施得10分；评审内容各部分内容每完全满足一项得2.5分，每有一处缺陷扣0.5分，扣完为止。 （评审内容中的缺陷是指:存在不完全满足评分标准，但项目仍可实施；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根据供应商拟投入本项目服务团队进行客观评审：1. 团队总人数不少于12人；2.须覆盖全部岗位：①项目负责人（全面统筹协调，对接采购人及政府相关部门）≥1人；②策划统筹（负责整体活动策划、主题把控等）≥1人；③线上运营组（负责电商平台专区搭建、商品上架、页面设计、订单管理等）≥2人；④线下执行组（负责线下市集、社区活动的场地布置、现场管理、参展商对接等）≥2 人；⑤直播组（负责溯源直播活动的主播对接、脚本策划、直播执行、投流优化等）≥2人；⑥培训组（负责专题培训课程的策划、讲师对接、学员组织、效果评估等）≥2人；⑦后勤保障组（负责物料采购、物流仓储、安全保障、应急处理等）≥2人。 评审标准：全部岗位齐全，各组人员达到最低配置，总人数≥12 人，得 12分；每缺失1人扣1分。磋商响应文件须提供人员团队配备清单。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针对本项目提供相机、摄像机、直播一体机、航拍无人机、笔记本电脑等设备（提供拟投入设备清单及设备照片等资料，提供设备购置合同复印件或设备购置发票复印件或设备租赁合同复印件等证明材料）。 注：具备1类设备得1分，满分5分，提供设备不能满足本次活动需要或未提供不得分。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承诺1：在项目履约期间，突发且与活动有关的工作内容，但未提前明确的，供应商应无条件积极配合采购人开展相关活动。提供承诺计3分，未提不计分。 承诺2：供应商承诺，在服务过程中，出现的所有人身安全财产问题，均由成交供应商自行承担，采购人概不负责。提供承诺计3分，未承诺不计分。 承诺3：供应商承诺：活动全过程的文案材料一并提交给采购人。与活动相关的所有报名信息、数据资料和分析成果、影像、文案材料等所有权归采购人所有。提供承诺计3分，未承诺不计分。 承诺4：供应商承诺，供应商承诺采购人在使用最终成果时，不承担任何涉及知识产权的追责，因使用未被授权使用的内容引起的纠纷由供应商自行承担，采购人不承担因此产生的任何责任。提供承诺计3分，未承诺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供应商拟派项目负责人应有丰富的相关领域工作经验，提供2023年1月1日至今（以合同签订日期为准）拟派项目负责人承担过相关工作的业绩证明，每提供一份计3分，满分6分。 备注： ①以上证明文件在响应文件中附业绩扫描件并加盖供应商公章，业绩证明材料需体现拟派项目负责人姓名。可与企业业绩重复。 ②需提供本单位在职证明包括但不限于社保缴纳凭证、劳动合同等，未提供不得分。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提供2023年1月1日至今类似项目业绩合同（以合同签订时间为准）每提供一份有效业绩得3分，最高得15分。 注：以合同为准，须在竞争性磋商响应文件中附合同的扫描件加盖单位公章。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详见附件：西安市2026年“数商兴农庆丰收”主题活动--合同.docx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