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auto"/>
          <w:sz w:val="32"/>
          <w:szCs w:val="32"/>
          <w:lang w:eastAsia="zh-CN"/>
        </w:rPr>
      </w:pPr>
      <w:r>
        <w:rPr>
          <w:rFonts w:hint="eastAsia" w:ascii="方正公文小标宋" w:hAnsi="方正公文小标宋" w:eastAsia="方正公文小标宋" w:cs="方正公文小标宋"/>
          <w:color w:val="auto"/>
          <w:sz w:val="32"/>
          <w:szCs w:val="32"/>
          <w:lang w:eastAsia="zh-CN"/>
        </w:rPr>
        <w:t>购</w:t>
      </w:r>
      <w:r>
        <w:rPr>
          <w:rFonts w:hint="eastAsia" w:ascii="方正公文小标宋" w:hAnsi="方正公文小标宋" w:eastAsia="方正公文小标宋" w:cs="方正公文小标宋"/>
          <w:color w:val="auto"/>
          <w:sz w:val="32"/>
          <w:szCs w:val="32"/>
          <w:lang w:val="en-US" w:eastAsia="zh-CN"/>
        </w:rPr>
        <w:t xml:space="preserve"> </w:t>
      </w:r>
      <w:r>
        <w:rPr>
          <w:rFonts w:hint="eastAsia" w:ascii="方正公文小标宋" w:hAnsi="方正公文小标宋" w:eastAsia="方正公文小标宋" w:cs="方正公文小标宋"/>
          <w:color w:val="auto"/>
          <w:sz w:val="32"/>
          <w:szCs w:val="32"/>
          <w:lang w:eastAsia="zh-CN"/>
        </w:rPr>
        <w:t>置</w:t>
      </w:r>
      <w:r>
        <w:rPr>
          <w:rFonts w:hint="eastAsia" w:ascii="方正公文小标宋" w:hAnsi="方正公文小标宋" w:eastAsia="方正公文小标宋" w:cs="方正公文小标宋"/>
          <w:color w:val="auto"/>
          <w:sz w:val="32"/>
          <w:szCs w:val="32"/>
          <w:lang w:val="en-US" w:eastAsia="zh-CN"/>
        </w:rPr>
        <w:t xml:space="preserve"> </w:t>
      </w:r>
      <w:r>
        <w:rPr>
          <w:rFonts w:hint="eastAsia" w:ascii="方正公文小标宋" w:hAnsi="方正公文小标宋" w:eastAsia="方正公文小标宋" w:cs="方正公文小标宋"/>
          <w:color w:val="auto"/>
          <w:sz w:val="32"/>
          <w:szCs w:val="32"/>
          <w:lang w:eastAsia="zh-CN"/>
        </w:rPr>
        <w:t>合</w:t>
      </w:r>
      <w:r>
        <w:rPr>
          <w:rFonts w:hint="eastAsia" w:ascii="方正公文小标宋" w:hAnsi="方正公文小标宋" w:eastAsia="方正公文小标宋" w:cs="方正公文小标宋"/>
          <w:color w:val="auto"/>
          <w:sz w:val="32"/>
          <w:szCs w:val="32"/>
          <w:lang w:val="en-US" w:eastAsia="zh-CN"/>
        </w:rPr>
        <w:t xml:space="preserve"> </w:t>
      </w:r>
      <w:r>
        <w:rPr>
          <w:rFonts w:hint="eastAsia" w:ascii="方正公文小标宋" w:hAnsi="方正公文小标宋" w:eastAsia="方正公文小标宋" w:cs="方正公文小标宋"/>
          <w:color w:val="auto"/>
          <w:sz w:val="32"/>
          <w:szCs w:val="32"/>
          <w:lang w:eastAsia="zh-CN"/>
        </w:rPr>
        <w:t>同</w:t>
      </w:r>
    </w:p>
    <w:p w14:paraId="2693362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陕西职业技术学院（甲方）与 </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乙方）就甲方购置的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在甲方组织的关于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1.1 设备购置清单（币种：人民币）</w:t>
      </w:r>
    </w:p>
    <w:tbl>
      <w:tblPr>
        <w:tblStyle w:val="10"/>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sz w:val="22"/>
                <w:szCs w:val="22"/>
              </w:rPr>
            </w:pPr>
            <w:r>
              <w:rPr>
                <w:rFonts w:hint="eastAsia" w:asciiTheme="minorEastAsia" w:hAnsiTheme="minorEastAsia" w:eastAsiaTheme="minorEastAsia" w:cstheme="minorEastAsia"/>
                <w:b/>
                <w:bCs/>
                <w:color w:val="auto"/>
                <w:sz w:val="22"/>
                <w:szCs w:val="22"/>
              </w:rPr>
              <w:t>序号</w:t>
            </w:r>
          </w:p>
        </w:tc>
        <w:tc>
          <w:tcPr>
            <w:tcW w:w="1458" w:type="dxa"/>
            <w:vAlign w:val="center"/>
          </w:tcPr>
          <w:p w14:paraId="49B036E0">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数量</w:t>
            </w:r>
          </w:p>
          <w:p w14:paraId="0752FDA2">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(台、套)</w:t>
            </w:r>
          </w:p>
        </w:tc>
        <w:tc>
          <w:tcPr>
            <w:tcW w:w="1130" w:type="dxa"/>
            <w:vAlign w:val="center"/>
          </w:tcPr>
          <w:p w14:paraId="5AE179CB">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单价</w:t>
            </w:r>
          </w:p>
          <w:p w14:paraId="313385B6">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(万元)</w:t>
            </w:r>
          </w:p>
        </w:tc>
        <w:tc>
          <w:tcPr>
            <w:tcW w:w="1090" w:type="dxa"/>
            <w:vAlign w:val="center"/>
          </w:tcPr>
          <w:p w14:paraId="2488134C">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合计</w:t>
            </w:r>
          </w:p>
          <w:p w14:paraId="446C6D23">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(万元)</w:t>
            </w:r>
          </w:p>
        </w:tc>
        <w:tc>
          <w:tcPr>
            <w:tcW w:w="1420" w:type="dxa"/>
            <w:vAlign w:val="center"/>
          </w:tcPr>
          <w:p w14:paraId="52F467D5">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1</w:t>
            </w:r>
          </w:p>
        </w:tc>
        <w:tc>
          <w:tcPr>
            <w:tcW w:w="1458" w:type="dxa"/>
            <w:vAlign w:val="center"/>
          </w:tcPr>
          <w:p w14:paraId="6C6A5745">
            <w:pPr>
              <w:jc w:val="center"/>
              <w:rPr>
                <w:rFonts w:asciiTheme="minorEastAsia" w:hAnsiTheme="minorEastAsia" w:eastAsiaTheme="minorEastAsia" w:cstheme="minorEastAsia"/>
                <w:color w:val="auto"/>
                <w:sz w:val="22"/>
                <w:szCs w:val="22"/>
              </w:rPr>
            </w:pPr>
          </w:p>
        </w:tc>
        <w:tc>
          <w:tcPr>
            <w:tcW w:w="1776" w:type="dxa"/>
            <w:vAlign w:val="center"/>
          </w:tcPr>
          <w:p w14:paraId="31FF3235">
            <w:pPr>
              <w:jc w:val="center"/>
              <w:rPr>
                <w:rFonts w:asciiTheme="minorEastAsia" w:hAnsiTheme="minorEastAsia" w:eastAsiaTheme="minorEastAsia" w:cstheme="minorEastAsia"/>
                <w:color w:val="auto"/>
                <w:sz w:val="22"/>
                <w:szCs w:val="22"/>
              </w:rPr>
            </w:pPr>
          </w:p>
        </w:tc>
        <w:tc>
          <w:tcPr>
            <w:tcW w:w="925" w:type="dxa"/>
            <w:vAlign w:val="center"/>
          </w:tcPr>
          <w:p w14:paraId="69BF5A6D">
            <w:pPr>
              <w:jc w:val="center"/>
              <w:rPr>
                <w:rFonts w:asciiTheme="minorEastAsia" w:hAnsiTheme="minorEastAsia" w:eastAsiaTheme="minorEastAsia" w:cstheme="minorEastAsia"/>
                <w:color w:val="auto"/>
                <w:sz w:val="22"/>
                <w:szCs w:val="22"/>
              </w:rPr>
            </w:pPr>
          </w:p>
        </w:tc>
        <w:tc>
          <w:tcPr>
            <w:tcW w:w="1130" w:type="dxa"/>
            <w:vAlign w:val="center"/>
          </w:tcPr>
          <w:p w14:paraId="64572D3D">
            <w:pPr>
              <w:jc w:val="center"/>
              <w:rPr>
                <w:rFonts w:asciiTheme="minorEastAsia" w:hAnsiTheme="minorEastAsia" w:eastAsiaTheme="minorEastAsia" w:cstheme="minorEastAsia"/>
                <w:color w:val="auto"/>
                <w:sz w:val="22"/>
                <w:szCs w:val="22"/>
              </w:rPr>
            </w:pPr>
          </w:p>
        </w:tc>
        <w:tc>
          <w:tcPr>
            <w:tcW w:w="1090" w:type="dxa"/>
            <w:vAlign w:val="center"/>
          </w:tcPr>
          <w:p w14:paraId="616F4F5C">
            <w:pPr>
              <w:jc w:val="center"/>
              <w:rPr>
                <w:rFonts w:asciiTheme="minorEastAsia" w:hAnsiTheme="minorEastAsia" w:eastAsiaTheme="minorEastAsia" w:cstheme="minorEastAsia"/>
                <w:color w:val="auto"/>
                <w:sz w:val="22"/>
                <w:szCs w:val="22"/>
              </w:rPr>
            </w:pPr>
          </w:p>
        </w:tc>
        <w:tc>
          <w:tcPr>
            <w:tcW w:w="1420" w:type="dxa"/>
            <w:vAlign w:val="center"/>
          </w:tcPr>
          <w:p w14:paraId="29461040">
            <w:pPr>
              <w:jc w:val="center"/>
              <w:rPr>
                <w:rFonts w:asciiTheme="minorEastAsia" w:hAnsiTheme="minorEastAsia" w:eastAsiaTheme="minorEastAsia" w:cstheme="minorEastAsia"/>
                <w:color w:val="auto"/>
                <w:sz w:val="22"/>
                <w:szCs w:val="22"/>
              </w:rPr>
            </w:pPr>
          </w:p>
        </w:tc>
        <w:tc>
          <w:tcPr>
            <w:tcW w:w="617" w:type="dxa"/>
            <w:vAlign w:val="center"/>
          </w:tcPr>
          <w:p w14:paraId="7000CE8A">
            <w:pPr>
              <w:jc w:val="center"/>
              <w:rPr>
                <w:rFonts w:asciiTheme="minorEastAsia" w:hAnsiTheme="minorEastAsia" w:eastAsiaTheme="minorEastAsia" w:cstheme="minorEastAsia"/>
                <w:color w:val="auto"/>
                <w:sz w:val="22"/>
                <w:szCs w:val="22"/>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sz w:val="22"/>
                <w:szCs w:val="22"/>
                <w:lang w:eastAsia="zh-CN"/>
              </w:rPr>
            </w:pPr>
            <w:r>
              <w:rPr>
                <w:rFonts w:hint="eastAsia" w:asciiTheme="minorEastAsia" w:hAnsiTheme="minorEastAsia" w:eastAsiaTheme="minorEastAsia" w:cstheme="minorEastAsia"/>
                <w:color w:val="auto"/>
                <w:sz w:val="22"/>
                <w:szCs w:val="22"/>
                <w:lang w:eastAsia="zh-CN"/>
              </w:rPr>
              <w:t>2</w:t>
            </w:r>
          </w:p>
        </w:tc>
        <w:tc>
          <w:tcPr>
            <w:tcW w:w="1458" w:type="dxa"/>
            <w:vAlign w:val="center"/>
          </w:tcPr>
          <w:p w14:paraId="15C2E6C3">
            <w:pPr>
              <w:jc w:val="center"/>
              <w:rPr>
                <w:rFonts w:asciiTheme="minorEastAsia" w:hAnsiTheme="minorEastAsia" w:eastAsiaTheme="minorEastAsia" w:cstheme="minorEastAsia"/>
                <w:color w:val="auto"/>
                <w:sz w:val="22"/>
                <w:szCs w:val="22"/>
              </w:rPr>
            </w:pPr>
          </w:p>
        </w:tc>
        <w:tc>
          <w:tcPr>
            <w:tcW w:w="1776" w:type="dxa"/>
            <w:vAlign w:val="center"/>
          </w:tcPr>
          <w:p w14:paraId="6F2C4196">
            <w:pPr>
              <w:jc w:val="center"/>
              <w:rPr>
                <w:rFonts w:asciiTheme="minorEastAsia" w:hAnsiTheme="minorEastAsia" w:eastAsiaTheme="minorEastAsia" w:cstheme="minorEastAsia"/>
                <w:color w:val="auto"/>
                <w:sz w:val="22"/>
                <w:szCs w:val="22"/>
              </w:rPr>
            </w:pPr>
          </w:p>
        </w:tc>
        <w:tc>
          <w:tcPr>
            <w:tcW w:w="925" w:type="dxa"/>
            <w:vAlign w:val="center"/>
          </w:tcPr>
          <w:p w14:paraId="5A0BCB89">
            <w:pPr>
              <w:jc w:val="center"/>
              <w:rPr>
                <w:rFonts w:asciiTheme="minorEastAsia" w:hAnsiTheme="minorEastAsia" w:eastAsiaTheme="minorEastAsia" w:cstheme="minorEastAsia"/>
                <w:color w:val="auto"/>
                <w:sz w:val="22"/>
                <w:szCs w:val="22"/>
              </w:rPr>
            </w:pPr>
          </w:p>
        </w:tc>
        <w:tc>
          <w:tcPr>
            <w:tcW w:w="1130" w:type="dxa"/>
            <w:vAlign w:val="center"/>
          </w:tcPr>
          <w:p w14:paraId="2BB72B99">
            <w:pPr>
              <w:jc w:val="center"/>
              <w:rPr>
                <w:rFonts w:asciiTheme="minorEastAsia" w:hAnsiTheme="minorEastAsia" w:eastAsiaTheme="minorEastAsia" w:cstheme="minorEastAsia"/>
                <w:color w:val="auto"/>
                <w:sz w:val="22"/>
                <w:szCs w:val="22"/>
              </w:rPr>
            </w:pPr>
          </w:p>
        </w:tc>
        <w:tc>
          <w:tcPr>
            <w:tcW w:w="1090" w:type="dxa"/>
            <w:vAlign w:val="center"/>
          </w:tcPr>
          <w:p w14:paraId="73FF240B">
            <w:pPr>
              <w:jc w:val="center"/>
              <w:rPr>
                <w:rFonts w:asciiTheme="minorEastAsia" w:hAnsiTheme="minorEastAsia" w:eastAsiaTheme="minorEastAsia" w:cstheme="minorEastAsia"/>
                <w:color w:val="auto"/>
                <w:sz w:val="22"/>
                <w:szCs w:val="22"/>
              </w:rPr>
            </w:pPr>
          </w:p>
        </w:tc>
        <w:tc>
          <w:tcPr>
            <w:tcW w:w="1420" w:type="dxa"/>
            <w:vAlign w:val="center"/>
          </w:tcPr>
          <w:p w14:paraId="73F8E07B">
            <w:pPr>
              <w:jc w:val="center"/>
              <w:rPr>
                <w:rFonts w:asciiTheme="minorEastAsia" w:hAnsiTheme="minorEastAsia" w:eastAsiaTheme="minorEastAsia" w:cstheme="minorEastAsia"/>
                <w:color w:val="auto"/>
                <w:sz w:val="22"/>
                <w:szCs w:val="22"/>
              </w:rPr>
            </w:pPr>
          </w:p>
        </w:tc>
        <w:tc>
          <w:tcPr>
            <w:tcW w:w="617" w:type="dxa"/>
            <w:vAlign w:val="center"/>
          </w:tcPr>
          <w:p w14:paraId="5A6E64D7">
            <w:pPr>
              <w:jc w:val="center"/>
              <w:rPr>
                <w:rFonts w:asciiTheme="minorEastAsia" w:hAnsiTheme="minorEastAsia" w:eastAsiaTheme="minorEastAsia" w:cstheme="minorEastAsia"/>
                <w:color w:val="auto"/>
                <w:sz w:val="22"/>
                <w:szCs w:val="22"/>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sz w:val="22"/>
                <w:szCs w:val="22"/>
                <w:lang w:eastAsia="zh-CN"/>
              </w:rPr>
            </w:pPr>
            <w:r>
              <w:rPr>
                <w:rFonts w:hint="eastAsia" w:asciiTheme="minorEastAsia" w:hAnsiTheme="minorEastAsia" w:eastAsiaTheme="minorEastAsia" w:cstheme="minorEastAsia"/>
                <w:color w:val="auto"/>
                <w:sz w:val="22"/>
                <w:szCs w:val="22"/>
                <w:lang w:eastAsia="zh-CN"/>
              </w:rPr>
              <w:t>...</w:t>
            </w:r>
          </w:p>
        </w:tc>
        <w:tc>
          <w:tcPr>
            <w:tcW w:w="1458" w:type="dxa"/>
            <w:vAlign w:val="center"/>
          </w:tcPr>
          <w:p w14:paraId="3F905766">
            <w:pPr>
              <w:jc w:val="center"/>
              <w:rPr>
                <w:rFonts w:asciiTheme="minorEastAsia" w:hAnsiTheme="minorEastAsia" w:eastAsiaTheme="minorEastAsia" w:cstheme="minorEastAsia"/>
                <w:color w:val="auto"/>
                <w:sz w:val="22"/>
                <w:szCs w:val="22"/>
              </w:rPr>
            </w:pPr>
          </w:p>
        </w:tc>
        <w:tc>
          <w:tcPr>
            <w:tcW w:w="1776" w:type="dxa"/>
            <w:vAlign w:val="center"/>
          </w:tcPr>
          <w:p w14:paraId="447E9961">
            <w:pPr>
              <w:jc w:val="center"/>
              <w:rPr>
                <w:rFonts w:asciiTheme="minorEastAsia" w:hAnsiTheme="minorEastAsia" w:eastAsiaTheme="minorEastAsia" w:cstheme="minorEastAsia"/>
                <w:color w:val="auto"/>
                <w:sz w:val="22"/>
                <w:szCs w:val="22"/>
              </w:rPr>
            </w:pPr>
          </w:p>
        </w:tc>
        <w:tc>
          <w:tcPr>
            <w:tcW w:w="925" w:type="dxa"/>
            <w:vAlign w:val="center"/>
          </w:tcPr>
          <w:p w14:paraId="596A99E3">
            <w:pPr>
              <w:jc w:val="center"/>
              <w:rPr>
                <w:rFonts w:asciiTheme="minorEastAsia" w:hAnsiTheme="minorEastAsia" w:eastAsiaTheme="minorEastAsia" w:cstheme="minorEastAsia"/>
                <w:color w:val="auto"/>
                <w:sz w:val="22"/>
                <w:szCs w:val="22"/>
              </w:rPr>
            </w:pPr>
          </w:p>
        </w:tc>
        <w:tc>
          <w:tcPr>
            <w:tcW w:w="1130" w:type="dxa"/>
            <w:vAlign w:val="center"/>
          </w:tcPr>
          <w:p w14:paraId="0A89900E">
            <w:pPr>
              <w:jc w:val="center"/>
              <w:rPr>
                <w:rFonts w:asciiTheme="minorEastAsia" w:hAnsiTheme="minorEastAsia" w:eastAsiaTheme="minorEastAsia" w:cstheme="minorEastAsia"/>
                <w:color w:val="auto"/>
                <w:sz w:val="22"/>
                <w:szCs w:val="22"/>
              </w:rPr>
            </w:pPr>
          </w:p>
        </w:tc>
        <w:tc>
          <w:tcPr>
            <w:tcW w:w="1090" w:type="dxa"/>
            <w:vAlign w:val="center"/>
          </w:tcPr>
          <w:p w14:paraId="7CE88457">
            <w:pPr>
              <w:jc w:val="center"/>
              <w:rPr>
                <w:rFonts w:asciiTheme="minorEastAsia" w:hAnsiTheme="minorEastAsia" w:eastAsiaTheme="minorEastAsia" w:cstheme="minorEastAsia"/>
                <w:color w:val="auto"/>
                <w:sz w:val="22"/>
                <w:szCs w:val="22"/>
              </w:rPr>
            </w:pPr>
          </w:p>
        </w:tc>
        <w:tc>
          <w:tcPr>
            <w:tcW w:w="1420" w:type="dxa"/>
            <w:vAlign w:val="center"/>
          </w:tcPr>
          <w:p w14:paraId="073E6C96">
            <w:pPr>
              <w:jc w:val="center"/>
              <w:rPr>
                <w:rFonts w:asciiTheme="minorEastAsia" w:hAnsiTheme="minorEastAsia" w:eastAsiaTheme="minorEastAsia" w:cstheme="minorEastAsia"/>
                <w:color w:val="auto"/>
                <w:sz w:val="22"/>
                <w:szCs w:val="22"/>
              </w:rPr>
            </w:pPr>
          </w:p>
        </w:tc>
        <w:tc>
          <w:tcPr>
            <w:tcW w:w="617" w:type="dxa"/>
            <w:vAlign w:val="center"/>
          </w:tcPr>
          <w:p w14:paraId="3C5FB26D">
            <w:pPr>
              <w:jc w:val="center"/>
              <w:rPr>
                <w:rFonts w:asciiTheme="minorEastAsia" w:hAnsiTheme="minorEastAsia" w:eastAsiaTheme="minorEastAsia" w:cstheme="minorEastAsia"/>
                <w:color w:val="auto"/>
                <w:sz w:val="22"/>
                <w:szCs w:val="22"/>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sz w:val="22"/>
                <w:szCs w:val="22"/>
              </w:rPr>
            </w:pPr>
          </w:p>
          <w:p w14:paraId="03776583">
            <w:pPr>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合计(元)</w:t>
            </w:r>
          </w:p>
        </w:tc>
        <w:tc>
          <w:tcPr>
            <w:tcW w:w="5182" w:type="dxa"/>
            <w:gridSpan w:val="5"/>
            <w:vAlign w:val="center"/>
          </w:tcPr>
          <w:p w14:paraId="70476E38">
            <w:pPr>
              <w:jc w:val="both"/>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sz w:val="22"/>
                <w:szCs w:val="22"/>
              </w:rPr>
            </w:pPr>
          </w:p>
        </w:tc>
        <w:tc>
          <w:tcPr>
            <w:tcW w:w="5182" w:type="dxa"/>
            <w:gridSpan w:val="5"/>
            <w:vAlign w:val="center"/>
          </w:tcPr>
          <w:p w14:paraId="577C060A">
            <w:pPr>
              <w:jc w:val="both"/>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小写：</w:t>
            </w:r>
            <w:r>
              <w:rPr>
                <w:rFonts w:hint="eastAsia" w:asciiTheme="minorEastAsia" w:hAnsiTheme="minorEastAsia" w:eastAsiaTheme="minorEastAsia" w:cstheme="minorEastAsia"/>
                <w:color w:val="auto"/>
                <w:sz w:val="22"/>
                <w:szCs w:val="22"/>
                <w:u w:val="single"/>
                <w:lang w:eastAsia="zh-CN"/>
              </w:rPr>
              <w:t xml:space="preserve">           </w:t>
            </w:r>
            <w:r>
              <w:rPr>
                <w:rFonts w:hint="eastAsia" w:asciiTheme="minorEastAsia" w:hAnsiTheme="minorEastAsia" w:eastAsiaTheme="minorEastAsia" w:cstheme="minorEastAsia"/>
                <w:color w:val="auto"/>
                <w:sz w:val="22"/>
                <w:szCs w:val="22"/>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eastAsia="zh-CN"/>
        </w:rPr>
        <w:t>其中，</w:t>
      </w:r>
      <w:r>
        <w:rPr>
          <w:rFonts w:hint="eastAsia" w:asciiTheme="minorEastAsia" w:hAnsiTheme="minorEastAsia" w:eastAsiaTheme="minorEastAsia" w:cstheme="minorEastAsia"/>
          <w:color w:val="auto"/>
          <w:sz w:val="24"/>
          <w:szCs w:val="24"/>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 xml:space="preserve">1.4.2 </w:t>
      </w:r>
      <w:r>
        <w:rPr>
          <w:rFonts w:hint="eastAsia" w:asciiTheme="minorEastAsia" w:hAnsiTheme="minorEastAsia" w:eastAsiaTheme="minorEastAsia" w:cstheme="minorEastAsia"/>
          <w:b w:val="0"/>
          <w:bCs w:val="0"/>
          <w:color w:val="auto"/>
          <w:sz w:val="24"/>
          <w:szCs w:val="24"/>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w:t>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3.2 合同签订后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692BE13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4.6 产品质量保证期为甲方硬件设备最终验收合格后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年，软件系统最终验收合格后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小时，并在</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小时内</w:t>
      </w:r>
      <w:r>
        <w:rPr>
          <w:rFonts w:hint="eastAsia" w:asciiTheme="minorEastAsia" w:hAnsiTheme="minorEastAsia" w:eastAsiaTheme="minorEastAsia" w:cstheme="minorEastAsia"/>
          <w:color w:val="auto"/>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。质保期内乙方应每季度上门巡检不少于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a.重新测试直至合格为止；</w:t>
      </w:r>
    </w:p>
    <w:p w14:paraId="5FB3893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7.1.1 乙方应在收到中标(成交)通知书后、合同签订前</w:t>
      </w:r>
      <w:r>
        <w:rPr>
          <w:rFonts w:hint="eastAsia" w:asciiTheme="minorEastAsia" w:hAnsiTheme="minorEastAsia" w:eastAsiaTheme="minorEastAsia" w:cstheme="minorEastAsia"/>
          <w:color w:val="auto"/>
          <w:sz w:val="24"/>
          <w:szCs w:val="24"/>
          <w:u w:val="single"/>
          <w:lang w:eastAsia="zh-CN"/>
        </w:rPr>
        <w:t xml:space="preserve"> 5 </w:t>
      </w:r>
      <w:r>
        <w:rPr>
          <w:rFonts w:hint="eastAsia" w:asciiTheme="minorEastAsia" w:hAnsiTheme="minorEastAsia" w:eastAsiaTheme="minorEastAsia" w:cstheme="minorEastAsia"/>
          <w:color w:val="auto"/>
          <w:sz w:val="24"/>
          <w:szCs w:val="24"/>
          <w:lang w:eastAsia="zh-CN"/>
        </w:rPr>
        <w:t>个工作日内，向甲方提交合同总价</w:t>
      </w:r>
      <w:r>
        <w:rPr>
          <w:rFonts w:hint="eastAsia" w:asciiTheme="minorEastAsia" w:hAnsiTheme="minorEastAsia" w:eastAsiaTheme="minorEastAsia" w:cstheme="minorEastAsia"/>
          <w:color w:val="auto"/>
          <w:sz w:val="24"/>
          <w:szCs w:val="24"/>
          <w:u w:val="single"/>
          <w:lang w:eastAsia="zh-CN"/>
        </w:rPr>
        <w:t xml:space="preserve"> 5  </w:t>
      </w:r>
      <w:r>
        <w:rPr>
          <w:rFonts w:hint="eastAsia" w:asciiTheme="minorEastAsia" w:hAnsiTheme="minorEastAsia" w:eastAsiaTheme="minorEastAsia" w:cstheme="minorEastAsia"/>
          <w:color w:val="auto"/>
          <w:sz w:val="24"/>
          <w:szCs w:val="24"/>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lightGray"/>
          <w:u w:val="single"/>
        </w:rPr>
      </w:pPr>
      <w:r>
        <w:rPr>
          <w:rFonts w:hint="eastAsia" w:asciiTheme="minorEastAsia" w:hAnsiTheme="minorEastAsia" w:eastAsiaTheme="minorEastAsia" w:cstheme="minorEastAsia"/>
          <w:color w:val="auto"/>
          <w:sz w:val="24"/>
          <w:szCs w:val="24"/>
          <w:lang w:eastAsia="zh-CN"/>
        </w:rPr>
        <w:t>签订合同后，设备到达指定地点、安装调试完成并验收合格后，</w:t>
      </w:r>
      <w:r>
        <w:rPr>
          <w:rFonts w:hint="eastAsia" w:asciiTheme="minorEastAsia" w:hAnsiTheme="minorEastAsia" w:eastAsiaTheme="minorEastAsia" w:cstheme="minorEastAsia"/>
          <w:color w:val="auto"/>
          <w:sz w:val="24"/>
          <w:szCs w:val="24"/>
          <w:u w:val="none"/>
          <w:lang w:eastAsia="zh-CN"/>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7.3 甲方向乙方付款前，乙方必须先提供等额的增值税专用发票，在乙方提供后，方可办理付款手续（税票及其相关资料办理具体问题与学校财务部门咨询</w:t>
      </w:r>
      <w:bookmarkStart w:id="8" w:name="_GoBack"/>
      <w:bookmarkEnd w:id="8"/>
      <w:r>
        <w:rPr>
          <w:rFonts w:hint="eastAsia" w:asciiTheme="minorEastAsia" w:hAnsiTheme="minorEastAsia" w:eastAsiaTheme="minorEastAsia" w:cstheme="minorEastAsia"/>
          <w:color w:val="auto"/>
          <w:sz w:val="24"/>
          <w:szCs w:val="24"/>
          <w:lang w:eastAsia="zh-CN"/>
        </w:rPr>
        <w:t>或协商</w:t>
      </w:r>
      <w:r>
        <w:rPr>
          <w:rFonts w:hint="eastAsia" w:asciiTheme="minorEastAsia" w:hAnsiTheme="minorEastAsia" w:eastAsiaTheme="minorEastAsia" w:cstheme="minorEastAsia"/>
          <w:color w:val="auto"/>
          <w:sz w:val="24"/>
          <w:szCs w:val="24"/>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auto"/>
          <w:sz w:val="24"/>
          <w:szCs w:val="24"/>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9.3 乙方收到甲方发出的索赔通知之日起</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5</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5</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10.7 乙方</w:t>
      </w:r>
      <w:r>
        <w:rPr>
          <w:rFonts w:hint="eastAsia" w:asciiTheme="minorEastAsia" w:hAnsiTheme="minorEastAsia" w:eastAsiaTheme="minorEastAsia" w:cstheme="minorEastAsia"/>
          <w:color w:val="auto"/>
          <w:sz w:val="24"/>
          <w:szCs w:val="24"/>
          <w:lang w:eastAsia="zh-CN"/>
        </w:rPr>
        <w:t>对所供产品出现的问题推诿、拖延，</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24</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auto"/>
          <w:sz w:val="24"/>
          <w:szCs w:val="24"/>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lang w:eastAsia="zh-CN"/>
        </w:rPr>
        <w:t>13.</w:t>
      </w:r>
      <w:bookmarkStart w:id="0" w:name="_Toc26328"/>
      <w:bookmarkStart w:id="1" w:name="_Toc23280"/>
      <w:bookmarkStart w:id="2" w:name="_Toc495505745"/>
      <w:bookmarkStart w:id="3" w:name="_Toc14186"/>
      <w:r>
        <w:rPr>
          <w:rFonts w:hint="eastAsia" w:asciiTheme="minorEastAsia" w:hAnsiTheme="minorEastAsia" w:eastAsiaTheme="minorEastAsia" w:cstheme="minorEastAsia"/>
          <w:b w:val="0"/>
          <w:bCs w:val="0"/>
          <w:color w:val="auto"/>
          <w:sz w:val="24"/>
          <w:szCs w:val="24"/>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lang w:eastAsia="zh-CN"/>
        </w:rPr>
      </w:pPr>
      <w:r>
        <w:rPr>
          <w:rFonts w:hint="eastAsia" w:asciiTheme="minorEastAsia" w:hAnsiTheme="minorEastAsia" w:eastAsiaTheme="minorEastAsia" w:cstheme="minorEastAsia"/>
          <w:color w:val="auto"/>
          <w:kern w:val="0"/>
          <w:sz w:val="24"/>
          <w:szCs w:val="24"/>
          <w:lang w:eastAsia="zh-CN"/>
        </w:rPr>
        <w:t>13.1</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lang w:eastAsia="zh-CN"/>
        </w:rPr>
      </w:pPr>
      <w:r>
        <w:rPr>
          <w:rFonts w:hint="eastAsia" w:asciiTheme="minorEastAsia" w:hAnsiTheme="minorEastAsia" w:eastAsiaTheme="minorEastAsia" w:cstheme="minorEastAsia"/>
          <w:color w:val="auto"/>
          <w:kern w:val="0"/>
          <w:sz w:val="24"/>
          <w:szCs w:val="24"/>
          <w:lang w:eastAsia="zh-CN"/>
        </w:rPr>
        <w:t>13.2</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lang w:eastAsia="zh-CN"/>
        </w:rPr>
      </w:pPr>
      <w:r>
        <w:rPr>
          <w:rFonts w:hint="eastAsia" w:asciiTheme="minorEastAsia" w:hAnsiTheme="minorEastAsia" w:eastAsiaTheme="minorEastAsia" w:cstheme="minorEastAsia"/>
          <w:color w:val="auto"/>
          <w:kern w:val="0"/>
          <w:sz w:val="24"/>
          <w:szCs w:val="24"/>
          <w:lang w:eastAsia="zh-CN"/>
        </w:rPr>
        <w:t>13.3</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2F63D5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1258281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7B8967E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3C02867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4376EB17">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1E9B2B3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495505746"/>
      <w:bookmarkStart w:id="5" w:name="_Toc11939"/>
      <w:bookmarkStart w:id="6" w:name="_Toc1081"/>
      <w:bookmarkStart w:id="7" w:name="_Toc18101"/>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B6490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9BBFC5F">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10"/>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8012D8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62C678F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0DDD38C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5286686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C0BF57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4525FD96">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0F5CC6AF">
      <w:pPr>
        <w:rPr>
          <w:rFonts w:hint="eastAsia" w:asciiTheme="minorEastAsia" w:hAnsiTheme="minorEastAsia" w:eastAsiaTheme="minorEastAsia" w:cstheme="minorEastAsia"/>
          <w:color w:val="000000" w:themeColor="text1"/>
          <w:lang w:eastAsia="zh-CN"/>
          <w14:textFill>
            <w14:solidFill>
              <w14:schemeClr w14:val="tx1"/>
            </w14:solidFill>
          </w14:textFill>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34D6979B-916B-4AA5-B1FA-A1F6A1B53052}"/>
  </w:font>
  <w:font w:name="仿宋_GB2312">
    <w:altName w:val="仿宋"/>
    <w:panose1 w:val="00000000000000000000"/>
    <w:charset w:val="00"/>
    <w:family w:val="auto"/>
    <w:pitch w:val="default"/>
    <w:sig w:usb0="00000000" w:usb1="00000000" w:usb2="00000000" w:usb3="00000000" w:csb0="00000000" w:csb1="00000000"/>
    <w:embedRegular r:id="rId2" w:fontKey="{236A8DEF-7ADC-4BAE-8742-290E2F1ADF3E}"/>
  </w:font>
  <w:font w:name="仿宋">
    <w:panose1 w:val="02010609060101010101"/>
    <w:charset w:val="86"/>
    <w:family w:val="auto"/>
    <w:pitch w:val="default"/>
    <w:sig w:usb0="800002BF" w:usb1="38CF7CFA" w:usb2="00000016" w:usb3="00000000" w:csb0="00040001" w:csb1="00000000"/>
  </w:font>
  <w:font w:name="WPSEMBED2">
    <w:panose1 w:val="02000500000000000000"/>
    <w:charset w:val="86"/>
    <w:family w:val="auto"/>
    <w:pitch w:val="default"/>
    <w:sig w:usb0="A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8B2778A"/>
    <w:rsid w:val="1C2B5C7B"/>
    <w:rsid w:val="1C6E45B6"/>
    <w:rsid w:val="1D4F1A4B"/>
    <w:rsid w:val="1DB10E44"/>
    <w:rsid w:val="1E1B62F5"/>
    <w:rsid w:val="1F5844BB"/>
    <w:rsid w:val="22AD1941"/>
    <w:rsid w:val="230010F2"/>
    <w:rsid w:val="231421B7"/>
    <w:rsid w:val="242A1B68"/>
    <w:rsid w:val="258129BE"/>
    <w:rsid w:val="25E72643"/>
    <w:rsid w:val="25FA62CC"/>
    <w:rsid w:val="2F974B8C"/>
    <w:rsid w:val="30B73737"/>
    <w:rsid w:val="30C46236"/>
    <w:rsid w:val="37A94BA8"/>
    <w:rsid w:val="37AA2989"/>
    <w:rsid w:val="384004B6"/>
    <w:rsid w:val="3CB46D7D"/>
    <w:rsid w:val="3F9904AC"/>
    <w:rsid w:val="408E30B3"/>
    <w:rsid w:val="4DDA685F"/>
    <w:rsid w:val="528B3483"/>
    <w:rsid w:val="54637566"/>
    <w:rsid w:val="58CB4F3F"/>
    <w:rsid w:val="5BEA0612"/>
    <w:rsid w:val="61D5316E"/>
    <w:rsid w:val="6283046C"/>
    <w:rsid w:val="62DB47B4"/>
    <w:rsid w:val="64F8789F"/>
    <w:rsid w:val="65784102"/>
    <w:rsid w:val="677B47B7"/>
    <w:rsid w:val="68751207"/>
    <w:rsid w:val="6A535578"/>
    <w:rsid w:val="6AE73408"/>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semiHidden/>
    <w:unhideWhenUsed/>
    <w:qFormat/>
    <w:uiPriority w:val="99"/>
    <w:rPr>
      <w:color w:val="666666"/>
      <w:u w:val="none"/>
    </w:rPr>
  </w:style>
  <w:style w:type="character" w:styleId="9">
    <w:name w:val="Hyperlink"/>
    <w:basedOn w:val="7"/>
    <w:semiHidden/>
    <w:unhideWhenUsed/>
    <w:qFormat/>
    <w:uiPriority w:val="99"/>
    <w:rPr>
      <w:color w:val="666666"/>
      <w:u w:val="none"/>
    </w:rPr>
  </w:style>
  <w:style w:type="table" w:customStyle="1" w:styleId="10">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_Style 10"/>
    <w:basedOn w:val="1"/>
    <w:next w:val="1"/>
    <w:qFormat/>
    <w:uiPriority w:val="0"/>
    <w:pPr>
      <w:pBdr>
        <w:bottom w:val="single" w:color="auto" w:sz="6" w:space="1"/>
      </w:pBdr>
      <w:jc w:val="center"/>
    </w:pPr>
    <w:rPr>
      <w:rFonts w:ascii="Arial" w:eastAsia="宋体"/>
      <w:vanish/>
      <w:sz w:val="16"/>
    </w:rPr>
  </w:style>
  <w:style w:type="paragraph" w:customStyle="1" w:styleId="12">
    <w:name w:val="_Style 11"/>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6346</Words>
  <Characters>6631</Characters>
  <Lines>48</Lines>
  <Paragraphs>13</Paragraphs>
  <TotalTime>1</TotalTime>
  <ScaleCrop>false</ScaleCrop>
  <LinksUpToDate>false</LinksUpToDate>
  <CharactersWithSpaces>6895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川招</cp:lastModifiedBy>
  <cp:lastPrinted>2026-07-14T02:08:00Z</cp:lastPrinted>
  <dcterms:modified xsi:type="dcterms:W3CDTF">2026-07-20T07:31:53Z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eyJoZGlkIjoiNDU5NWRkYWRkZDI4Yjk2ZmZkMDZmOWUzZmYyZmQxMjIiLCJ1c2VySWQiOiIzMjk1Njg3MDQifQ==</vt:lpwstr>
  </property>
  <property fmtid="{D5CDD505-2E9C-101B-9397-08002B2CF9AE}" pid="3" name="KSOProductBuildVer">
    <vt:lpwstr>2052-12.1.0.26895</vt:lpwstr>
  </property>
  <property fmtid="{D5CDD505-2E9C-101B-9397-08002B2CF9AE}" pid="4" name="ICV">
    <vt:lpwstr>2A2F1C31346848B5A885DA94A037530F_13</vt:lpwstr>
  </property>
</Properties>
</file>