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版本号：GHZC2026-04-003.1B120260610001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陕西省公安厅交通管理总队全省事故多发路段和道路安全隐患排查治理技术服务项目(二次)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GHZC2026-04-003.1B1</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陕西省公安厅交通管理总队全省事故多发路段和道路安全隐患排查治理技术服务项目(二次)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GHZC2026-04-003.1B1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陕西省公安厅交通管理总队全省事故多发路段和道路安全隐患排查治理技术服务项目(二次)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全省事故多发路段和道路安全隐患排查治理技术服务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2、财务状况报告：提供2024年度或者2025年度的财务审计报告或开标前六个月内其基本存款账户开户银行出具的资信证明（附开户许可证或开户备案证明或基本账户信息）；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3、税收缴纳证明：提供递交投标文件截止之日前一年内任意一个月的依法缴纳税收的完税证明，依法免税的单位应提供相关证明材料；</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陕西省公安厅交通管理总队经办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029-87680153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陕西省西安市经济技术开发区凤城七路长和国际A座26楼02-01室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代理服务费收费标准：采购代理服务费的收取参照国家计委颁布的《招标代理服务费收费管理暂行办法》（计价格[2002]1980号）中的收费标准计算收取。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 质量标准：符合国家及行业有关现行规范、标准的要求验收合格条件。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地址：陕西省西安市经济技术开发区凤城七路长和国际A座26楼02-01室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全省事故多发路段和道路安全隐患排查治理技术服务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782,000.00</w:t>
      </w:r>
    </w:p>
    <w:p>
      <w:pPr>
        <w:pStyle w:val="null3"/>
      </w:pPr>
      <w:r>
        <w:rPr>
          <w:rFonts w:ascii="仿宋_GB2312" w:hAnsi="仿宋_GB2312" w:cs="仿宋_GB2312" w:eastAsia="仿宋_GB2312"/>
        </w:rPr>
        <w:t>采购包最高限价（元）: 782,000.00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全省事故多发路段和道路安全隐患排查治理技术服务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标的名称：全省事故多发路段和道路安全隐患排查治理技术服务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一、工作目标</w:t>
            </w:r>
          </w:p>
          <w:p>
            <w:pPr>
              <w:pStyle w:val="null3"/>
              <w:jc w:val="both"/>
            </w:pPr>
            <w:r>
              <w:rPr>
                <w:rFonts w:ascii="仿宋_GB2312" w:hAnsi="仿宋_GB2312" w:cs="仿宋_GB2312" w:eastAsia="仿宋_GB2312"/>
              </w:rPr>
              <w:t>为深入贯彻落实道路交通事故预防</w:t>
            </w:r>
            <w:r>
              <w:rPr>
                <w:rFonts w:ascii="仿宋_GB2312" w:hAnsi="仿宋_GB2312" w:cs="仿宋_GB2312" w:eastAsia="仿宋_GB2312"/>
              </w:rPr>
              <w:t>“减量控大”工作部署要求，聚焦平交路口、急弯陡坡、临水临崖、长下坡等事故易发、风险突出的重点路段，精准开展安全隐患排查、风险评估与综合治理，持续推动道路安全隐患大排查大整治行动向纵深推进、向实处发力，不断补齐道路交通安全设施短板，全面提升道路通行条件与本质安全水平，坚决防范化解重大道路交通安全风险，有效预防和减少道路交通事故发生，切实保障人民群众出行安全。</w:t>
            </w:r>
          </w:p>
          <w:p>
            <w:pPr>
              <w:pStyle w:val="null3"/>
              <w:jc w:val="both"/>
            </w:pPr>
            <w:r>
              <w:rPr>
                <w:rFonts w:ascii="仿宋_GB2312" w:hAnsi="仿宋_GB2312" w:cs="仿宋_GB2312" w:eastAsia="仿宋_GB2312"/>
              </w:rPr>
              <w:t>二、总体思路</w:t>
            </w:r>
          </w:p>
          <w:p>
            <w:pPr>
              <w:pStyle w:val="null3"/>
              <w:jc w:val="both"/>
            </w:pPr>
            <w:r>
              <w:rPr>
                <w:rFonts w:ascii="仿宋_GB2312" w:hAnsi="仿宋_GB2312" w:cs="仿宋_GB2312" w:eastAsia="仿宋_GB2312"/>
              </w:rPr>
              <w:t>精准研判当前全省道路交通安全形势，聚焦平交路口、急弯陡坡、临水临崖等事故易发高发重点路段，精准防范、系统化解各类道路交通显性隐患和隐性风险，着力推动道路隐患排查治理工作从</w:t>
            </w:r>
            <w:r>
              <w:rPr>
                <w:rFonts w:ascii="仿宋_GB2312" w:hAnsi="仿宋_GB2312" w:cs="仿宋_GB2312" w:eastAsia="仿宋_GB2312"/>
              </w:rPr>
              <w:t>“被动处置”向“主动预防”转型、从“粗放治理”向“精准施策”升级，持续纵深推进隐患排查治理工作提质增效，不断补齐道路交通安全设施短板、完善安全防控体系，切实防范遏制重特大道路交通事故发生，保障人民群众生命财产安全，为人民群众平安、便捷、有序出行创造安全、畅通、文明、和谐的道路交通环境，以高水平道路交通安全保障经济社会高质量发展。</w:t>
            </w:r>
          </w:p>
          <w:p>
            <w:pPr>
              <w:pStyle w:val="null3"/>
              <w:jc w:val="both"/>
            </w:pPr>
            <w:r>
              <w:rPr>
                <w:rFonts w:ascii="仿宋_GB2312" w:hAnsi="仿宋_GB2312" w:cs="仿宋_GB2312" w:eastAsia="仿宋_GB2312"/>
              </w:rPr>
              <w:t>为进一步提升全省事故多发路段和道路安全隐患排查治理工作的专业化、规范化、科学化水平，破解基层排查治理过程中存在的技术短板、判断偏差、标准不统一等问题，切实提高隐患排查的精准度、治理方案的可行性和整改落实的实效性，特聘请道路交通安全、公路工程、交通工程、应急管理等领域的资深专家组建专业技术团队，充分发挥专家团队的技术优势、经验优势和专业研判能力，为全省隐患排查治理工作提供全方位技术支撑。通过专家团队全程参与隐患排查、风险评估、方案论证、技术指导和成效验收等各环节工作，明确排查标准、规范排查流程、优化治理方案，指导各地按照</w:t>
            </w:r>
            <w:r>
              <w:rPr>
                <w:rFonts w:ascii="仿宋_GB2312" w:hAnsi="仿宋_GB2312" w:cs="仿宋_GB2312" w:eastAsia="仿宋_GB2312"/>
              </w:rPr>
              <w:t>“一路一策”“一点一策”原则制定针对性整改措施，建立健全隐患整改“一本账”和“一路一档”，推动隐患排查治理闭环管理，切实解决以往隐患排查不全面、治理不彻底、成效不明显等问题，全面提高全省事故多发路段和道路安全隐患排查治理工作的专业性和规范性，显著提升隐患治理的针对性和实效性，推动全省道路交通安全本质安全水平持续提升，助力道路交通事故预防“减量控大”工作走深走实。</w:t>
            </w:r>
          </w:p>
          <w:p>
            <w:pPr>
              <w:pStyle w:val="null3"/>
              <w:jc w:val="both"/>
            </w:pPr>
            <w:r>
              <w:rPr>
                <w:rFonts w:ascii="仿宋_GB2312" w:hAnsi="仿宋_GB2312" w:cs="仿宋_GB2312" w:eastAsia="仿宋_GB2312"/>
              </w:rPr>
              <w:t>三、编制依据</w:t>
            </w:r>
          </w:p>
          <w:p>
            <w:pPr>
              <w:pStyle w:val="null3"/>
              <w:jc w:val="both"/>
            </w:pPr>
            <w:r>
              <w:rPr>
                <w:rFonts w:ascii="仿宋_GB2312" w:hAnsi="仿宋_GB2312" w:cs="仿宋_GB2312" w:eastAsia="仿宋_GB2312"/>
              </w:rPr>
              <w:t>（</w:t>
            </w:r>
            <w:r>
              <w:rPr>
                <w:rFonts w:ascii="仿宋_GB2312" w:hAnsi="仿宋_GB2312" w:cs="仿宋_GB2312" w:eastAsia="仿宋_GB2312"/>
              </w:rPr>
              <w:t>1）《中华人民共和国道路交通安全法》</w:t>
            </w:r>
          </w:p>
          <w:p>
            <w:pPr>
              <w:pStyle w:val="null3"/>
              <w:jc w:val="both"/>
            </w:pPr>
            <w:r>
              <w:rPr>
                <w:rFonts w:ascii="仿宋_GB2312" w:hAnsi="仿宋_GB2312" w:cs="仿宋_GB2312" w:eastAsia="仿宋_GB2312"/>
              </w:rPr>
              <w:t>（</w:t>
            </w:r>
            <w:r>
              <w:rPr>
                <w:rFonts w:ascii="仿宋_GB2312" w:hAnsi="仿宋_GB2312" w:cs="仿宋_GB2312" w:eastAsia="仿宋_GB2312"/>
              </w:rPr>
              <w:t>2）《中华人民共和国安全生产法》</w:t>
            </w:r>
          </w:p>
          <w:p>
            <w:pPr>
              <w:pStyle w:val="null3"/>
              <w:jc w:val="both"/>
            </w:pPr>
            <w:r>
              <w:rPr>
                <w:rFonts w:ascii="仿宋_GB2312" w:hAnsi="仿宋_GB2312" w:cs="仿宋_GB2312" w:eastAsia="仿宋_GB2312"/>
              </w:rPr>
              <w:t>（</w:t>
            </w:r>
            <w:r>
              <w:rPr>
                <w:rFonts w:ascii="仿宋_GB2312" w:hAnsi="仿宋_GB2312" w:cs="仿宋_GB2312" w:eastAsia="仿宋_GB2312"/>
              </w:rPr>
              <w:t>3）《中共陕西省委关于制定国民经济和社会发展第十五个五年规划的建议》</w:t>
            </w:r>
          </w:p>
          <w:p>
            <w:pPr>
              <w:pStyle w:val="null3"/>
              <w:jc w:val="both"/>
            </w:pPr>
            <w:r>
              <w:rPr>
                <w:rFonts w:ascii="仿宋_GB2312" w:hAnsi="仿宋_GB2312" w:cs="仿宋_GB2312" w:eastAsia="仿宋_GB2312"/>
              </w:rPr>
              <w:t>（</w:t>
            </w:r>
            <w:r>
              <w:rPr>
                <w:rFonts w:ascii="仿宋_GB2312" w:hAnsi="仿宋_GB2312" w:cs="仿宋_GB2312" w:eastAsia="仿宋_GB2312"/>
              </w:rPr>
              <w:t>4）《全省公路安全隐患突出路口路段治理重点攻坚实施方案》</w:t>
            </w:r>
          </w:p>
          <w:p>
            <w:pPr>
              <w:pStyle w:val="null3"/>
              <w:jc w:val="both"/>
            </w:pPr>
            <w:r>
              <w:rPr>
                <w:rFonts w:ascii="仿宋_GB2312" w:hAnsi="仿宋_GB2312" w:cs="仿宋_GB2312" w:eastAsia="仿宋_GB2312"/>
              </w:rPr>
              <w:t>（</w:t>
            </w:r>
            <w:r>
              <w:rPr>
                <w:rFonts w:ascii="仿宋_GB2312" w:hAnsi="仿宋_GB2312" w:cs="仿宋_GB2312" w:eastAsia="仿宋_GB2312"/>
              </w:rPr>
              <w:t>5）《2026年公路安全隐患突出路口路段治理工作指引》</w:t>
            </w:r>
          </w:p>
          <w:p>
            <w:pPr>
              <w:pStyle w:val="null3"/>
              <w:jc w:val="both"/>
            </w:pPr>
            <w:r>
              <w:rPr>
                <w:rFonts w:ascii="仿宋_GB2312" w:hAnsi="仿宋_GB2312" w:cs="仿宋_GB2312" w:eastAsia="仿宋_GB2312"/>
              </w:rPr>
              <w:t>（</w:t>
            </w:r>
            <w:r>
              <w:rPr>
                <w:rFonts w:ascii="仿宋_GB2312" w:hAnsi="仿宋_GB2312" w:cs="仿宋_GB2312" w:eastAsia="仿宋_GB2312"/>
              </w:rPr>
              <w:t>6）国家、省和市其他相关法规、标准、政策文件等要求</w:t>
            </w:r>
            <w:r>
              <w:rPr>
                <w:rFonts w:ascii="仿宋_GB2312" w:hAnsi="仿宋_GB2312" w:cs="仿宋_GB2312" w:eastAsia="仿宋_GB2312"/>
              </w:rPr>
              <w:t>。</w:t>
            </w:r>
          </w:p>
          <w:p>
            <w:pPr>
              <w:pStyle w:val="null3"/>
              <w:jc w:val="both"/>
            </w:pPr>
            <w:r>
              <w:rPr>
                <w:rFonts w:ascii="仿宋_GB2312" w:hAnsi="仿宋_GB2312" w:cs="仿宋_GB2312" w:eastAsia="仿宋_GB2312"/>
              </w:rPr>
              <w:t>四、技术服务内容</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较大事故现场踏勘与风险安全评估</w:t>
            </w:r>
          </w:p>
          <w:p>
            <w:pPr>
              <w:pStyle w:val="null3"/>
              <w:jc w:val="both"/>
            </w:pPr>
            <w:r>
              <w:rPr>
                <w:rFonts w:ascii="仿宋_GB2312" w:hAnsi="仿宋_GB2312" w:cs="仿宋_GB2312" w:eastAsia="仿宋_GB2312"/>
              </w:rPr>
              <w:t>对</w:t>
            </w:r>
            <w:r>
              <w:rPr>
                <w:rFonts w:ascii="仿宋_GB2312" w:hAnsi="仿宋_GB2312" w:cs="仿宋_GB2312" w:eastAsia="仿宋_GB2312"/>
              </w:rPr>
              <w:t>2026年较大事故以及影响较大的亡人事故路段进行现场踏勘，详细了解事故路段特征、交通情况、道路安全设施现状、事故情况等，深入分析和评估道路交通安全设施存在的问题，并提出针对性改善建议，同时对事故路段邻接路段的</w:t>
            </w:r>
            <w:r>
              <w:rPr>
                <w:rFonts w:ascii="仿宋_GB2312" w:hAnsi="仿宋_GB2312" w:cs="仿宋_GB2312" w:eastAsia="仿宋_GB2312"/>
              </w:rPr>
              <w:t>隐患进行关联排查</w:t>
            </w:r>
            <w:r>
              <w:rPr>
                <w:rFonts w:ascii="仿宋_GB2312" w:hAnsi="仿宋_GB2312" w:cs="仿宋_GB2312" w:eastAsia="仿宋_GB2312"/>
              </w:rPr>
              <w:t>（事故点上下游</w:t>
            </w:r>
            <w:r>
              <w:rPr>
                <w:rFonts w:ascii="仿宋_GB2312" w:hAnsi="仿宋_GB2312" w:cs="仿宋_GB2312" w:eastAsia="仿宋_GB2312"/>
              </w:rPr>
              <w:t>10公里范围内</w:t>
            </w:r>
            <w:r>
              <w:rPr>
                <w:rFonts w:ascii="仿宋_GB2312" w:hAnsi="仿宋_GB2312" w:cs="仿宋_GB2312" w:eastAsia="仿宋_GB2312"/>
              </w:rPr>
              <w:t>），最后出具符合相关技术标准规范要求的专业道路安全评估报告。</w:t>
            </w:r>
          </w:p>
          <w:p>
            <w:pPr>
              <w:pStyle w:val="null3"/>
              <w:jc w:val="both"/>
            </w:pPr>
            <w:r>
              <w:rPr>
                <w:rFonts w:ascii="仿宋_GB2312" w:hAnsi="仿宋_GB2312" w:cs="仿宋_GB2312" w:eastAsia="仿宋_GB2312"/>
              </w:rPr>
              <w:t>输出成果：每个较大事故的</w:t>
            </w:r>
            <w:r>
              <w:rPr>
                <w:rFonts w:ascii="仿宋_GB2312" w:hAnsi="仿宋_GB2312" w:cs="仿宋_GB2312" w:eastAsia="仿宋_GB2312"/>
              </w:rPr>
              <w:t>道路安全评估报告</w:t>
            </w:r>
            <w:r>
              <w:rPr>
                <w:rFonts w:ascii="仿宋_GB2312" w:hAnsi="仿宋_GB2312" w:cs="仿宋_GB2312" w:eastAsia="仿宋_GB2312"/>
              </w:rPr>
              <w:t>。</w:t>
            </w:r>
          </w:p>
          <w:p>
            <w:pPr>
              <w:pStyle w:val="null3"/>
              <w:jc w:val="both"/>
            </w:pPr>
            <w:r>
              <w:rPr>
                <w:rFonts w:ascii="仿宋_GB2312" w:hAnsi="仿宋_GB2312" w:cs="仿宋_GB2312" w:eastAsia="仿宋_GB2312"/>
              </w:rPr>
              <w:t>时间计划：接到总队通知后</w:t>
            </w:r>
            <w:r>
              <w:rPr>
                <w:rFonts w:ascii="仿宋_GB2312" w:hAnsi="仿宋_GB2312" w:cs="仿宋_GB2312" w:eastAsia="仿宋_GB2312"/>
              </w:rPr>
              <w:t>1周内进行现场踏勘，</w:t>
            </w:r>
            <w:r>
              <w:rPr>
                <w:rFonts w:ascii="仿宋_GB2312" w:hAnsi="仿宋_GB2312" w:cs="仿宋_GB2312" w:eastAsia="仿宋_GB2312"/>
              </w:rPr>
              <w:t>2周内完成</w:t>
            </w:r>
            <w:r>
              <w:rPr>
                <w:rFonts w:ascii="仿宋_GB2312" w:hAnsi="仿宋_GB2312" w:cs="仿宋_GB2312" w:eastAsia="仿宋_GB2312"/>
              </w:rPr>
              <w:t>道路安全</w:t>
            </w:r>
            <w:r>
              <w:rPr>
                <w:rFonts w:ascii="仿宋_GB2312" w:hAnsi="仿宋_GB2312" w:cs="仿宋_GB2312" w:eastAsia="仿宋_GB2312"/>
              </w:rPr>
              <w:t>评估报告。</w:t>
            </w:r>
          </w:p>
          <w:p>
            <w:pPr>
              <w:pStyle w:val="null3"/>
              <w:jc w:val="both"/>
            </w:pPr>
            <w:r>
              <w:rPr>
                <w:rFonts w:ascii="仿宋_GB2312" w:hAnsi="仿宋_GB2312" w:cs="仿宋_GB2312" w:eastAsia="仿宋_GB2312"/>
              </w:rPr>
              <w:t>（</w:t>
            </w:r>
            <w:r>
              <w:rPr>
                <w:rFonts w:ascii="仿宋_GB2312" w:hAnsi="仿宋_GB2312" w:cs="仿宋_GB2312" w:eastAsia="仿宋_GB2312"/>
              </w:rPr>
              <w:t>2）编制</w:t>
            </w:r>
            <w:r>
              <w:rPr>
                <w:rFonts w:ascii="仿宋_GB2312" w:hAnsi="仿宋_GB2312" w:cs="仿宋_GB2312" w:eastAsia="仿宋_GB2312"/>
              </w:rPr>
              <w:t>隐患排查整治报告</w:t>
            </w:r>
          </w:p>
          <w:p>
            <w:pPr>
              <w:pStyle w:val="null3"/>
              <w:jc w:val="both"/>
            </w:pPr>
            <w:r>
              <w:rPr>
                <w:rFonts w:ascii="仿宋_GB2312" w:hAnsi="仿宋_GB2312" w:cs="仿宋_GB2312" w:eastAsia="仿宋_GB2312"/>
              </w:rPr>
              <w:t>按照总队确定的</w:t>
            </w:r>
            <w:r>
              <w:rPr>
                <w:rFonts w:ascii="仿宋_GB2312" w:hAnsi="仿宋_GB2312" w:cs="仿宋_GB2312" w:eastAsia="仿宋_GB2312"/>
              </w:rPr>
              <w:t>近三年来事故频发、死亡人数排名前五，和一次伤</w:t>
            </w:r>
            <w:r>
              <w:rPr>
                <w:rFonts w:ascii="仿宋_GB2312" w:hAnsi="仿宋_GB2312" w:cs="仿宋_GB2312" w:eastAsia="仿宋_GB2312"/>
              </w:rPr>
              <w:t>3人及以上事故数量排名前五</w:t>
            </w:r>
            <w:r>
              <w:rPr>
                <w:rFonts w:ascii="仿宋_GB2312" w:hAnsi="仿宋_GB2312" w:cs="仿宋_GB2312" w:eastAsia="仿宋_GB2312"/>
              </w:rPr>
              <w:t>的</w:t>
            </w:r>
            <w:r>
              <w:rPr>
                <w:rFonts w:ascii="仿宋_GB2312" w:hAnsi="仿宋_GB2312" w:cs="仿宋_GB2312" w:eastAsia="仿宋_GB2312"/>
              </w:rPr>
              <w:t>4</w:t>
            </w:r>
            <w:r>
              <w:rPr>
                <w:rFonts w:ascii="仿宋_GB2312" w:hAnsi="仿宋_GB2312" w:cs="仿宋_GB2312" w:eastAsia="仿宋_GB2312"/>
              </w:rPr>
              <w:t>个地市交通安全隐患点段进行现场踏勘（每个地市不少于</w:t>
            </w:r>
            <w:r>
              <w:rPr>
                <w:rFonts w:ascii="仿宋_GB2312" w:hAnsi="仿宋_GB2312" w:cs="仿宋_GB2312" w:eastAsia="仿宋_GB2312"/>
              </w:rPr>
              <w:t>50km）</w:t>
            </w:r>
            <w:r>
              <w:rPr>
                <w:rFonts w:ascii="仿宋_GB2312" w:hAnsi="仿宋_GB2312" w:cs="仿宋_GB2312" w:eastAsia="仿宋_GB2312"/>
              </w:rPr>
              <w:t>；利用道路交通事故数智分析平台对</w:t>
            </w:r>
            <w:r>
              <w:rPr>
                <w:rFonts w:ascii="仿宋_GB2312" w:hAnsi="仿宋_GB2312" w:cs="仿宋_GB2312" w:eastAsia="仿宋_GB2312"/>
              </w:rPr>
              <w:t>4个地市</w:t>
            </w:r>
            <w:r>
              <w:rPr>
                <w:rFonts w:ascii="仿宋_GB2312" w:hAnsi="仿宋_GB2312" w:cs="仿宋_GB2312" w:eastAsia="仿宋_GB2312"/>
              </w:rPr>
              <w:t>近三年事故数据及事故隐患突出的路段进行梳理汇总，筛选出高风险路段及符合条件的交通安全隐患点段进行现场踏勘，编制隐患排查整治报告。</w:t>
            </w:r>
          </w:p>
          <w:p>
            <w:pPr>
              <w:pStyle w:val="null3"/>
              <w:jc w:val="both"/>
            </w:pPr>
            <w:r>
              <w:rPr>
                <w:rFonts w:ascii="仿宋_GB2312" w:hAnsi="仿宋_GB2312" w:cs="仿宋_GB2312" w:eastAsia="仿宋_GB2312"/>
              </w:rPr>
              <w:t>输出成果：</w:t>
            </w:r>
            <w:r>
              <w:rPr>
                <w:rFonts w:ascii="仿宋_GB2312" w:hAnsi="仿宋_GB2312" w:cs="仿宋_GB2312" w:eastAsia="仿宋_GB2312"/>
              </w:rPr>
              <w:t>4个地市</w:t>
            </w:r>
            <w:r>
              <w:rPr>
                <w:rFonts w:ascii="仿宋_GB2312" w:hAnsi="仿宋_GB2312" w:cs="仿宋_GB2312" w:eastAsia="仿宋_GB2312"/>
              </w:rPr>
              <w:t>近三年事故隐患突出路段（每个地市不少于</w:t>
            </w:r>
            <w:r>
              <w:rPr>
                <w:rFonts w:ascii="仿宋_GB2312" w:hAnsi="仿宋_GB2312" w:cs="仿宋_GB2312" w:eastAsia="仿宋_GB2312"/>
              </w:rPr>
              <w:t>50km）的隐患排查整治报告，每个地市</w:t>
            </w:r>
            <w:r>
              <w:rPr>
                <w:rFonts w:ascii="仿宋_GB2312" w:hAnsi="仿宋_GB2312" w:cs="仿宋_GB2312" w:eastAsia="仿宋_GB2312"/>
              </w:rPr>
              <w:t>1份。</w:t>
            </w:r>
          </w:p>
          <w:p>
            <w:pPr>
              <w:pStyle w:val="null3"/>
              <w:jc w:val="both"/>
            </w:pPr>
            <w:r>
              <w:rPr>
                <w:rFonts w:ascii="仿宋_GB2312" w:hAnsi="仿宋_GB2312" w:cs="仿宋_GB2312" w:eastAsia="仿宋_GB2312"/>
              </w:rPr>
              <w:t>时间计划：</w:t>
            </w:r>
            <w:r>
              <w:rPr>
                <w:rFonts w:ascii="仿宋_GB2312" w:hAnsi="仿宋_GB2312" w:cs="仿宋_GB2312" w:eastAsia="仿宋_GB2312"/>
              </w:rPr>
              <w:t>2026年11月30日前。</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配合总队进行网上审核</w:t>
            </w:r>
          </w:p>
          <w:p>
            <w:pPr>
              <w:pStyle w:val="null3"/>
              <w:jc w:val="both"/>
            </w:pPr>
            <w:r>
              <w:rPr>
                <w:rFonts w:ascii="仿宋_GB2312" w:hAnsi="仿宋_GB2312" w:cs="仿宋_GB2312" w:eastAsia="仿宋_GB2312"/>
              </w:rPr>
              <w:t>严格履行审核责任，提高审核效率和质量。根据总队提供的公安部督办、省级督办公路隐患点段，安排技术专员通过公安部道路交通态势监测服务平台（互联网），对提交的整治材料进行审核并形成专业技术意见。对于不满足相关要求的材料于平台备注意见，由原单位进行整改；对于满足相关要求的材料予以审核通过。</w:t>
            </w:r>
          </w:p>
          <w:p>
            <w:pPr>
              <w:pStyle w:val="null3"/>
              <w:jc w:val="both"/>
            </w:pPr>
            <w:r>
              <w:rPr>
                <w:rFonts w:ascii="仿宋_GB2312" w:hAnsi="仿宋_GB2312" w:cs="仿宋_GB2312" w:eastAsia="仿宋_GB2312"/>
              </w:rPr>
              <w:t>输出成果：完成全部省部督办审核工作，形成专业技术</w:t>
            </w:r>
            <w:r>
              <w:rPr>
                <w:rFonts w:ascii="仿宋_GB2312" w:hAnsi="仿宋_GB2312" w:cs="仿宋_GB2312" w:eastAsia="仿宋_GB2312"/>
              </w:rPr>
              <w:t>审查反馈</w:t>
            </w:r>
            <w:r>
              <w:rPr>
                <w:rFonts w:ascii="仿宋_GB2312" w:hAnsi="仿宋_GB2312" w:cs="仿宋_GB2312" w:eastAsia="仿宋_GB2312"/>
              </w:rPr>
              <w:t>意见</w:t>
            </w:r>
            <w:r>
              <w:rPr>
                <w:rFonts w:ascii="仿宋_GB2312" w:hAnsi="仿宋_GB2312" w:cs="仿宋_GB2312" w:eastAsia="仿宋_GB2312"/>
              </w:rPr>
              <w:t>。</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时间计划：按公安部要求的截止时间完成。</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配合总队进行</w:t>
            </w:r>
            <w:r>
              <w:rPr>
                <w:rFonts w:ascii="仿宋_GB2312" w:hAnsi="仿宋_GB2312" w:cs="仿宋_GB2312" w:eastAsia="仿宋_GB2312"/>
              </w:rPr>
              <w:t>公路安全隐患点段治理工作</w:t>
            </w:r>
            <w:r>
              <w:rPr>
                <w:rFonts w:ascii="仿宋_GB2312" w:hAnsi="仿宋_GB2312" w:cs="仿宋_GB2312" w:eastAsia="仿宋_GB2312"/>
              </w:rPr>
              <w:t>验收</w:t>
            </w:r>
          </w:p>
          <w:p>
            <w:pPr>
              <w:pStyle w:val="null3"/>
              <w:jc w:val="both"/>
            </w:pPr>
            <w:r>
              <w:rPr>
                <w:rFonts w:ascii="仿宋_GB2312" w:hAnsi="仿宋_GB2312" w:cs="仿宋_GB2312" w:eastAsia="仿宋_GB2312"/>
              </w:rPr>
              <w:t>按总队确定的</w:t>
            </w:r>
            <w:r>
              <w:rPr>
                <w:rFonts w:ascii="仿宋_GB2312" w:hAnsi="仿宋_GB2312" w:cs="仿宋_GB2312" w:eastAsia="仿宋_GB2312"/>
              </w:rPr>
              <w:t>发生过伤亡事故的普通公路平交路口、弯坡路段、穿村过镇路段、长下坡路段、桥隧路段等公路安全隐患点段</w:t>
            </w:r>
            <w:r>
              <w:rPr>
                <w:rFonts w:ascii="仿宋_GB2312" w:hAnsi="仿宋_GB2312" w:cs="仿宋_GB2312" w:eastAsia="仿宋_GB2312"/>
              </w:rPr>
              <w:t>清单，全面梳理</w:t>
            </w:r>
            <w:r>
              <w:rPr>
                <w:rFonts w:ascii="仿宋_GB2312" w:hAnsi="仿宋_GB2312" w:cs="仿宋_GB2312" w:eastAsia="仿宋_GB2312"/>
              </w:rPr>
              <w:t>排查报告和治理报告</w:t>
            </w:r>
            <w:r>
              <w:rPr>
                <w:rFonts w:ascii="仿宋_GB2312" w:hAnsi="仿宋_GB2312" w:cs="仿宋_GB2312" w:eastAsia="仿宋_GB2312"/>
              </w:rPr>
              <w:t>，其中公安部</w:t>
            </w:r>
            <w:r>
              <w:rPr>
                <w:rFonts w:ascii="仿宋_GB2312" w:hAnsi="仿宋_GB2312" w:cs="仿宋_GB2312" w:eastAsia="仿宋_GB2312"/>
              </w:rPr>
              <w:t>督办的路段不少于</w:t>
            </w:r>
            <w:r>
              <w:rPr>
                <w:rFonts w:ascii="仿宋_GB2312" w:hAnsi="仿宋_GB2312" w:cs="仿宋_GB2312" w:eastAsia="仿宋_GB2312"/>
              </w:rPr>
              <w:t>69处</w:t>
            </w:r>
            <w:r>
              <w:rPr>
                <w:rFonts w:ascii="仿宋_GB2312" w:hAnsi="仿宋_GB2312" w:cs="仿宋_GB2312" w:eastAsia="仿宋_GB2312"/>
              </w:rPr>
              <w:t>，陕西省交安委</w:t>
            </w:r>
            <w:r>
              <w:rPr>
                <w:rFonts w:ascii="仿宋_GB2312" w:hAnsi="仿宋_GB2312" w:cs="仿宋_GB2312" w:eastAsia="仿宋_GB2312"/>
              </w:rPr>
              <w:t>督办的</w:t>
            </w:r>
            <w:r>
              <w:rPr>
                <w:rFonts w:ascii="仿宋_GB2312" w:hAnsi="仿宋_GB2312" w:cs="仿宋_GB2312" w:eastAsia="仿宋_GB2312"/>
              </w:rPr>
              <w:t>路段</w:t>
            </w:r>
            <w:r>
              <w:rPr>
                <w:rFonts w:ascii="仿宋_GB2312" w:hAnsi="仿宋_GB2312" w:cs="仿宋_GB2312" w:eastAsia="仿宋_GB2312"/>
              </w:rPr>
              <w:t>不少于</w:t>
            </w:r>
            <w:r>
              <w:rPr>
                <w:rFonts w:ascii="仿宋_GB2312" w:hAnsi="仿宋_GB2312" w:cs="仿宋_GB2312" w:eastAsia="仿宋_GB2312"/>
              </w:rPr>
              <w:t>200处</w:t>
            </w:r>
            <w:r>
              <w:rPr>
                <w:rFonts w:ascii="仿宋_GB2312" w:hAnsi="仿宋_GB2312" w:cs="仿宋_GB2312" w:eastAsia="仿宋_GB2312"/>
              </w:rPr>
              <w:t>。配合交警总队，</w:t>
            </w:r>
            <w:r>
              <w:rPr>
                <w:rFonts w:ascii="仿宋_GB2312" w:hAnsi="仿宋_GB2312" w:cs="仿宋_GB2312" w:eastAsia="仿宋_GB2312"/>
              </w:rPr>
              <w:t>组织专业技术力量对重点工程隐患点段进行</w:t>
            </w:r>
            <w:r>
              <w:rPr>
                <w:rFonts w:ascii="仿宋_GB2312" w:hAnsi="仿宋_GB2312" w:cs="仿宋_GB2312" w:eastAsia="仿宋_GB2312"/>
              </w:rPr>
              <w:t>验收</w:t>
            </w:r>
            <w:r>
              <w:rPr>
                <w:rFonts w:ascii="仿宋_GB2312" w:hAnsi="仿宋_GB2312" w:cs="仿宋_GB2312" w:eastAsia="仿宋_GB2312"/>
              </w:rPr>
              <w:t>，形成验收意见和情况总结报告。针对安全隐患点段治理效果进行评估，从中选取</w:t>
            </w:r>
            <w:r>
              <w:rPr>
                <w:rFonts w:ascii="仿宋_GB2312" w:hAnsi="仿宋_GB2312" w:cs="仿宋_GB2312" w:eastAsia="仿宋_GB2312"/>
              </w:rPr>
              <w:t>10处</w:t>
            </w:r>
            <w:r>
              <w:rPr>
                <w:rFonts w:ascii="仿宋_GB2312" w:hAnsi="仿宋_GB2312" w:cs="仿宋_GB2312" w:eastAsia="仿宋_GB2312"/>
              </w:rPr>
              <w:t>隐患特征明显、治理难度较大的路段，报送部局参选隐患治理精品案例。</w:t>
            </w:r>
          </w:p>
          <w:p>
            <w:pPr>
              <w:pStyle w:val="null3"/>
              <w:jc w:val="both"/>
            </w:pPr>
            <w:r>
              <w:rPr>
                <w:rFonts w:ascii="仿宋_GB2312" w:hAnsi="仿宋_GB2312" w:cs="仿宋_GB2312" w:eastAsia="仿宋_GB2312"/>
              </w:rPr>
              <w:t>输出成果：公路安全隐患点段的验收意见、验收情况总结报告以及</w:t>
            </w:r>
            <w:r>
              <w:rPr>
                <w:rFonts w:ascii="仿宋_GB2312" w:hAnsi="仿宋_GB2312" w:cs="仿宋_GB2312" w:eastAsia="仿宋_GB2312"/>
              </w:rPr>
              <w:t>10处隐患治理精品案例。</w:t>
            </w:r>
          </w:p>
          <w:p>
            <w:pPr>
              <w:pStyle w:val="null3"/>
              <w:jc w:val="both"/>
            </w:pPr>
            <w:r>
              <w:rPr>
                <w:rFonts w:ascii="仿宋_GB2312" w:hAnsi="仿宋_GB2312" w:cs="仿宋_GB2312" w:eastAsia="仿宋_GB2312"/>
              </w:rPr>
              <w:t>时间计划：</w:t>
            </w:r>
            <w:r>
              <w:rPr>
                <w:rFonts w:ascii="仿宋_GB2312" w:hAnsi="仿宋_GB2312" w:cs="仿宋_GB2312" w:eastAsia="仿宋_GB2312"/>
              </w:rPr>
              <w:t>2027年1月31日前。</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编制交通安全隐患治理工作验收评估报告</w:t>
            </w:r>
          </w:p>
          <w:p>
            <w:pPr>
              <w:pStyle w:val="null3"/>
              <w:jc w:val="both"/>
            </w:pPr>
            <w:r>
              <w:rPr>
                <w:rFonts w:ascii="仿宋_GB2312" w:hAnsi="仿宋_GB2312" w:cs="仿宋_GB2312" w:eastAsia="仿宋_GB2312"/>
              </w:rPr>
              <w:t>要在</w:t>
            </w:r>
            <w:r>
              <w:rPr>
                <w:rFonts w:ascii="仿宋_GB2312" w:hAnsi="仿宋_GB2312" w:cs="仿宋_GB2312" w:eastAsia="仿宋_GB2312"/>
              </w:rPr>
              <w:t>2026年度全省</w:t>
            </w:r>
            <w:r>
              <w:rPr>
                <w:rFonts w:ascii="仿宋_GB2312" w:hAnsi="仿宋_GB2312" w:cs="仿宋_GB2312" w:eastAsia="仿宋_GB2312"/>
              </w:rPr>
              <w:t>交通安全隐患治理工作</w:t>
            </w:r>
            <w:r>
              <w:rPr>
                <w:rFonts w:ascii="仿宋_GB2312" w:hAnsi="仿宋_GB2312" w:cs="仿宋_GB2312" w:eastAsia="仿宋_GB2312"/>
              </w:rPr>
              <w:t>的收尾阶段（</w:t>
            </w:r>
            <w:r>
              <w:rPr>
                <w:rFonts w:ascii="仿宋_GB2312" w:hAnsi="仿宋_GB2312" w:cs="仿宋_GB2312" w:eastAsia="仿宋_GB2312"/>
              </w:rPr>
              <w:t>11月底），结合验收评估情况，对全省交通安全隐患治理工作的整体情况进行分析总结，总结提炼典型隐患治理经验方法，加强示范引领和推广应用，编制完成。</w:t>
            </w:r>
          </w:p>
          <w:p>
            <w:pPr>
              <w:pStyle w:val="null3"/>
              <w:jc w:val="both"/>
            </w:pPr>
            <w:r>
              <w:rPr>
                <w:rFonts w:ascii="仿宋_GB2312" w:hAnsi="仿宋_GB2312" w:cs="仿宋_GB2312" w:eastAsia="仿宋_GB2312"/>
              </w:rPr>
              <w:t>输出成果：完成《</w:t>
            </w:r>
            <w:r>
              <w:rPr>
                <w:rFonts w:ascii="仿宋_GB2312" w:hAnsi="仿宋_GB2312" w:cs="仿宋_GB2312" w:eastAsia="仿宋_GB2312"/>
              </w:rPr>
              <w:t>2026年度公路安全隐患突出路口路段治理攻坚项目评估报告》。</w:t>
            </w:r>
          </w:p>
          <w:p>
            <w:pPr>
              <w:pStyle w:val="null3"/>
              <w:jc w:val="both"/>
            </w:pPr>
            <w:r>
              <w:rPr>
                <w:rFonts w:ascii="仿宋_GB2312" w:hAnsi="仿宋_GB2312" w:cs="仿宋_GB2312" w:eastAsia="仿宋_GB2312"/>
              </w:rPr>
              <w:t>时间计划：</w:t>
            </w:r>
            <w:r>
              <w:rPr>
                <w:rFonts w:ascii="仿宋_GB2312" w:hAnsi="仿宋_GB2312" w:cs="仿宋_GB2312" w:eastAsia="仿宋_GB2312"/>
              </w:rPr>
              <w:t>2026年12月31日前。</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开展全省道路安全隐患排查治理培训</w:t>
            </w:r>
          </w:p>
          <w:p>
            <w:pPr>
              <w:pStyle w:val="null3"/>
              <w:jc w:val="both"/>
            </w:pPr>
            <w:r>
              <w:rPr>
                <w:rFonts w:ascii="仿宋_GB2312" w:hAnsi="仿宋_GB2312" w:cs="仿宋_GB2312" w:eastAsia="仿宋_GB2312"/>
              </w:rPr>
              <w:t>根据</w:t>
            </w:r>
            <w:r>
              <w:rPr>
                <w:rFonts w:ascii="仿宋_GB2312" w:hAnsi="仿宋_GB2312" w:cs="仿宋_GB2312" w:eastAsia="仿宋_GB2312"/>
              </w:rPr>
              <w:t>2026年全省交通安全隐患治理工作要求，由高级职称人员开展不少于4次全省道路安全隐患排查治理能力提升视频培训会。组织开展</w:t>
            </w:r>
            <w:r>
              <w:rPr>
                <w:rFonts w:ascii="仿宋_GB2312" w:hAnsi="仿宋_GB2312" w:cs="仿宋_GB2312" w:eastAsia="仿宋_GB2312"/>
              </w:rPr>
              <w:t>1</w:t>
            </w:r>
            <w:r>
              <w:rPr>
                <w:rFonts w:ascii="仿宋_GB2312" w:hAnsi="仿宋_GB2312" w:cs="仿宋_GB2312" w:eastAsia="仿宋_GB2312"/>
              </w:rPr>
              <w:t>次（每次不少于</w:t>
            </w:r>
            <w:r>
              <w:rPr>
                <w:rFonts w:ascii="仿宋_GB2312" w:hAnsi="仿宋_GB2312" w:cs="仿宋_GB2312" w:eastAsia="仿宋_GB2312"/>
              </w:rPr>
              <w:t>100人、学时不少于24小时）线下培训班，全面提升全省道路安全隐患排查治理能力和水平。</w:t>
            </w:r>
          </w:p>
          <w:p>
            <w:pPr>
              <w:pStyle w:val="null3"/>
              <w:jc w:val="both"/>
            </w:pPr>
            <w:r>
              <w:rPr>
                <w:rFonts w:ascii="仿宋_GB2312" w:hAnsi="仿宋_GB2312" w:cs="仿宋_GB2312" w:eastAsia="仿宋_GB2312"/>
              </w:rPr>
              <w:t>输出成果：开展不少于</w:t>
            </w:r>
            <w:r>
              <w:rPr>
                <w:rFonts w:ascii="仿宋_GB2312" w:hAnsi="仿宋_GB2312" w:cs="仿宋_GB2312" w:eastAsia="仿宋_GB2312"/>
              </w:rPr>
              <w:t>4次线上培训和1</w:t>
            </w:r>
            <w:r>
              <w:rPr>
                <w:rFonts w:ascii="仿宋_GB2312" w:hAnsi="仿宋_GB2312" w:cs="仿宋_GB2312" w:eastAsia="仿宋_GB2312"/>
              </w:rPr>
              <w:t>次线下培训。</w:t>
            </w:r>
          </w:p>
          <w:p>
            <w:pPr>
              <w:pStyle w:val="null3"/>
              <w:jc w:val="both"/>
            </w:pPr>
            <w:r>
              <w:rPr>
                <w:rFonts w:ascii="仿宋_GB2312" w:hAnsi="仿宋_GB2312" w:cs="仿宋_GB2312" w:eastAsia="仿宋_GB2312"/>
              </w:rPr>
              <w:t>时间计划：</w:t>
            </w:r>
            <w:r>
              <w:rPr>
                <w:rFonts w:ascii="仿宋_GB2312" w:hAnsi="仿宋_GB2312" w:cs="仿宋_GB2312" w:eastAsia="仿宋_GB2312"/>
              </w:rPr>
              <w:t>根据总队要求时间实施。</w:t>
            </w:r>
          </w:p>
          <w:p>
            <w:pPr>
              <w:pStyle w:val="null3"/>
              <w:jc w:val="both"/>
            </w:pPr>
            <w:r>
              <w:rPr>
                <w:rFonts w:ascii="仿宋_GB2312" w:hAnsi="仿宋_GB2312" w:cs="仿宋_GB2312" w:eastAsia="仿宋_GB2312"/>
              </w:rPr>
              <w:t>（</w:t>
            </w:r>
            <w:r>
              <w:rPr>
                <w:rFonts w:ascii="仿宋_GB2312" w:hAnsi="仿宋_GB2312" w:cs="仿宋_GB2312" w:eastAsia="仿宋_GB2312"/>
              </w:rPr>
              <w:t>7）编制相关指南或规范</w:t>
            </w:r>
          </w:p>
          <w:p>
            <w:pPr>
              <w:pStyle w:val="null3"/>
              <w:jc w:val="both"/>
            </w:pPr>
            <w:r>
              <w:rPr>
                <w:rFonts w:ascii="仿宋_GB2312" w:hAnsi="仿宋_GB2312" w:cs="仿宋_GB2312" w:eastAsia="仿宋_GB2312"/>
              </w:rPr>
              <w:t>结合全省农村地区</w:t>
            </w:r>
            <w:r>
              <w:rPr>
                <w:rFonts w:ascii="仿宋_GB2312" w:hAnsi="仿宋_GB2312" w:cs="仿宋_GB2312" w:eastAsia="仿宋_GB2312"/>
              </w:rPr>
              <w:t>国省道穿村过镇路段</w:t>
            </w:r>
            <w:r>
              <w:rPr>
                <w:rFonts w:ascii="仿宋_GB2312" w:hAnsi="仿宋_GB2312" w:cs="仿宋_GB2312" w:eastAsia="仿宋_GB2312"/>
              </w:rPr>
              <w:t>交通管理安全设施提升工程开展和实施情况，对实施过程中典型治理方案和经验做法进行总结和凝练，加强后续示范引领和推广应用，编制国省道穿村过镇路段安全隐患治理、农村接入路口</w:t>
            </w:r>
            <w:r>
              <w:rPr>
                <w:rFonts w:ascii="仿宋_GB2312" w:hAnsi="仿宋_GB2312" w:cs="仿宋_GB2312" w:eastAsia="仿宋_GB2312"/>
              </w:rPr>
              <w:t>“</w:t>
            </w:r>
            <w:r>
              <w:rPr>
                <w:rFonts w:ascii="仿宋_GB2312" w:hAnsi="仿宋_GB2312" w:cs="仿宋_GB2312" w:eastAsia="仿宋_GB2312"/>
              </w:rPr>
              <w:t>五必上</w:t>
            </w:r>
            <w:r>
              <w:rPr>
                <w:rFonts w:ascii="仿宋_GB2312" w:hAnsi="仿宋_GB2312" w:cs="仿宋_GB2312" w:eastAsia="仿宋_GB2312"/>
              </w:rPr>
              <w:t>”</w:t>
            </w:r>
            <w:r>
              <w:rPr>
                <w:rFonts w:ascii="仿宋_GB2312" w:hAnsi="仿宋_GB2312" w:cs="仿宋_GB2312" w:eastAsia="仿宋_GB2312"/>
              </w:rPr>
              <w:t>安全设施设置、中央</w:t>
            </w:r>
            <w:r>
              <w:rPr>
                <w:rFonts w:ascii="仿宋_GB2312" w:hAnsi="仿宋_GB2312" w:cs="仿宋_GB2312" w:eastAsia="仿宋_GB2312"/>
              </w:rPr>
              <w:t>/机非</w:t>
            </w:r>
            <w:r>
              <w:rPr>
                <w:rFonts w:ascii="仿宋_GB2312" w:hAnsi="仿宋_GB2312" w:cs="仿宋_GB2312" w:eastAsia="仿宋_GB2312"/>
              </w:rPr>
              <w:t>隔离设施设置等相关实践指南、规范和团体标准。</w:t>
            </w:r>
          </w:p>
          <w:p>
            <w:pPr>
              <w:pStyle w:val="null3"/>
              <w:jc w:val="both"/>
            </w:pPr>
            <w:r>
              <w:rPr>
                <w:rFonts w:ascii="仿宋_GB2312" w:hAnsi="仿宋_GB2312" w:cs="仿宋_GB2312" w:eastAsia="仿宋_GB2312"/>
              </w:rPr>
              <w:t>输出成果：国省道穿村过镇路段安全隐患治理、农村接入路口</w:t>
            </w:r>
            <w:r>
              <w:rPr>
                <w:rFonts w:ascii="仿宋_GB2312" w:hAnsi="仿宋_GB2312" w:cs="仿宋_GB2312" w:eastAsia="仿宋_GB2312"/>
              </w:rPr>
              <w:t>“五必上”安全设施设置、中央/机非隔离设施设置等相关实践指南、规范和团体标准。</w:t>
            </w:r>
          </w:p>
          <w:p>
            <w:pPr>
              <w:pStyle w:val="null3"/>
              <w:jc w:val="both"/>
            </w:pPr>
            <w:r>
              <w:rPr>
                <w:rFonts w:ascii="仿宋_GB2312" w:hAnsi="仿宋_GB2312" w:cs="仿宋_GB2312" w:eastAsia="仿宋_GB2312"/>
              </w:rPr>
              <w:t>时间计划：</w:t>
            </w:r>
            <w:r>
              <w:rPr>
                <w:rFonts w:ascii="仿宋_GB2312" w:hAnsi="仿宋_GB2312" w:cs="仿宋_GB2312" w:eastAsia="仿宋_GB2312"/>
              </w:rPr>
              <w:t>2026年12月31日前。</w:t>
            </w:r>
          </w:p>
          <w:p>
            <w:pPr>
              <w:pStyle w:val="null3"/>
              <w:jc w:val="both"/>
            </w:pPr>
            <w:r>
              <w:rPr>
                <w:rFonts w:ascii="仿宋_GB2312" w:hAnsi="仿宋_GB2312" w:cs="仿宋_GB2312" w:eastAsia="仿宋_GB2312"/>
              </w:rPr>
              <w:t>五、工作流程</w:t>
            </w:r>
          </w:p>
          <w:p>
            <w:pPr>
              <w:pStyle w:val="null3"/>
              <w:jc w:val="both"/>
            </w:pPr>
            <w:r>
              <w:rPr>
                <w:rFonts w:ascii="仿宋_GB2312" w:hAnsi="仿宋_GB2312" w:cs="仿宋_GB2312" w:eastAsia="仿宋_GB2312"/>
              </w:rPr>
              <w:t>全省事故多发路段和道路安全隐患排查治理总体流程如下：</w:t>
            </w:r>
          </w:p>
          <w:p>
            <w:pPr>
              <w:pStyle w:val="null3"/>
              <w:jc w:val="center"/>
            </w:pPr>
            <w:r>
              <w:drawing>
                <wp:inline distT="0" distR="0" distB="0" distL="0">
                  <wp:extent cx="1621155" cy="10282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028275"/>
                          </a:xfrm>
                          <a:prstGeom prst="rect">
                            <a:avLst/>
                          </a:prstGeom>
                        </pic:spPr>
                      </pic:pic>
                    </a:graphicData>
                  </a:graphic>
                </wp:inline>
              </w:drawing>
            </w:r>
          </w:p>
          <w:p>
            <w:pPr>
              <w:pStyle w:val="null3"/>
              <w:jc w:val="both"/>
            </w:pPr>
            <w:r>
              <w:rPr>
                <w:rFonts w:ascii="仿宋_GB2312" w:hAnsi="仿宋_GB2312" w:cs="仿宋_GB2312" w:eastAsia="仿宋_GB2312"/>
              </w:rPr>
              <w:t>主要工作流程如下：</w:t>
            </w:r>
          </w:p>
          <w:p>
            <w:pPr>
              <w:pStyle w:val="null3"/>
              <w:jc w:val="both"/>
            </w:pPr>
            <w:r>
              <w:rPr>
                <w:rFonts w:ascii="仿宋_GB2312" w:hAnsi="仿宋_GB2312" w:cs="仿宋_GB2312" w:eastAsia="仿宋_GB2312"/>
              </w:rPr>
              <w:t>（</w:t>
            </w:r>
            <w:r>
              <w:rPr>
                <w:rFonts w:ascii="仿宋_GB2312" w:hAnsi="仿宋_GB2312" w:cs="仿宋_GB2312" w:eastAsia="仿宋_GB2312"/>
              </w:rPr>
              <w:t>1）根据总队所提供的省交安委挂牌督办的道路交通事故多发路段（计划不少于200处）、公安部督办的发生过伤亡事故的普通公路平交路口、弯坡路段、穿村过镇路段、长下坡路段、桥隧路段等公路安全隐患点段（公安部指定及全省自选点段合计不少于69处），首先由支队/大队在道路交通态势监测服务平台上传隐患路段基础信息、近年来事故情况、隐患排查报告、治理方案以及治理前后实景图；然后总队组织专业技术人员进行现场踏勘调研、隐患分析；最后就整治措施、整治效果进行评估审核形成验收意见。满足治理要求予以审核通过；未达到治理要求的根据审核意见进行整改，整改完成后再进行审核，直至审核通过。</w:t>
            </w:r>
          </w:p>
          <w:p>
            <w:pPr>
              <w:pStyle w:val="null3"/>
              <w:jc w:val="both"/>
            </w:pPr>
            <w:r>
              <w:rPr>
                <w:rFonts w:ascii="仿宋_GB2312" w:hAnsi="仿宋_GB2312" w:cs="仿宋_GB2312" w:eastAsia="仿宋_GB2312"/>
              </w:rPr>
              <w:t>（</w:t>
            </w:r>
            <w:r>
              <w:rPr>
                <w:rFonts w:ascii="仿宋_GB2312" w:hAnsi="仿宋_GB2312" w:cs="仿宋_GB2312" w:eastAsia="仿宋_GB2312"/>
              </w:rPr>
              <w:t>2）公安部督办、省级督办公路隐患点段，首先由大队在道路交通态势监测服务平台上传隐患路段基础信息、近年来事故情况、隐患排查报告、治理方案以及治理前后实景图；然后总队安排技术专员于平台审核大队所提交材料。满足相关要求的材料予以审核通过；不满足相关要求的材料于平台备注意见，由原单位进行整改，整改完成后再进行网上审核，直至审核通过。</w:t>
            </w:r>
          </w:p>
          <w:p>
            <w:pPr>
              <w:pStyle w:val="null3"/>
              <w:jc w:val="both"/>
            </w:pPr>
            <w:r>
              <w:rPr>
                <w:rFonts w:ascii="仿宋_GB2312" w:hAnsi="仿宋_GB2312" w:cs="仿宋_GB2312" w:eastAsia="仿宋_GB2312"/>
              </w:rPr>
              <w:t>（</w:t>
            </w:r>
            <w:r>
              <w:rPr>
                <w:rFonts w:ascii="仿宋_GB2312" w:hAnsi="仿宋_GB2312" w:cs="仿宋_GB2312" w:eastAsia="仿宋_GB2312"/>
              </w:rPr>
              <w:t>3）对近三年事故数据及事故隐患突出的路段进行梳理汇总，总队首先对此类点段进行资料收集；然后组织专业技术团队对以上点段进行基于大数据的分析论证，选取4个地市对近三年来事故频发、死亡人数排名前五，和一次伤3人及以上事故数量排名前五的交通安全隐患点段；最后组织专业技术人员对现场进行实地踏勘调研，分析安全隐患产生原因，提出建议措施，编制隐患排查报告。</w:t>
            </w:r>
          </w:p>
          <w:p>
            <w:pPr>
              <w:pStyle w:val="null3"/>
              <w:jc w:val="both"/>
            </w:pPr>
            <w:r>
              <w:rPr>
                <w:rFonts w:ascii="仿宋_GB2312" w:hAnsi="仿宋_GB2312" w:cs="仿宋_GB2312" w:eastAsia="仿宋_GB2312"/>
              </w:rPr>
              <w:t>（</w:t>
            </w:r>
            <w:r>
              <w:rPr>
                <w:rFonts w:ascii="仿宋_GB2312" w:hAnsi="仿宋_GB2312" w:cs="仿宋_GB2312" w:eastAsia="仿宋_GB2312"/>
              </w:rPr>
              <w:t>4）在全省交通安全隐患治理工作的收尾阶段，总队组织专业技术团队对全省交通安全隐患治理工作的整体情况进行分析总结，编制《2026年度公路安全隐患突出路口路段治理攻坚项目评估报告》。</w:t>
            </w:r>
          </w:p>
          <w:p>
            <w:pPr>
              <w:pStyle w:val="null3"/>
              <w:jc w:val="both"/>
            </w:pPr>
            <w:r>
              <w:rPr>
                <w:rFonts w:ascii="仿宋_GB2312" w:hAnsi="仿宋_GB2312" w:cs="仿宋_GB2312" w:eastAsia="仿宋_GB2312"/>
              </w:rPr>
              <w:t>六、专家团队</w:t>
            </w:r>
            <w:r>
              <w:rPr>
                <w:rFonts w:ascii="仿宋_GB2312" w:hAnsi="仿宋_GB2312" w:cs="仿宋_GB2312" w:eastAsia="仿宋_GB2312"/>
              </w:rPr>
              <w:t>基本条件</w:t>
            </w:r>
          </w:p>
          <w:p>
            <w:pPr>
              <w:pStyle w:val="null3"/>
              <w:jc w:val="both"/>
            </w:pPr>
            <w:r>
              <w:rPr>
                <w:rFonts w:ascii="仿宋_GB2312" w:hAnsi="仿宋_GB2312" w:cs="仿宋_GB2312" w:eastAsia="仿宋_GB2312"/>
              </w:rPr>
              <w:t>针对本次隐患排查工作，</w:t>
            </w:r>
            <w:r>
              <w:rPr>
                <w:rFonts w:ascii="仿宋_GB2312" w:hAnsi="仿宋_GB2312" w:cs="仿宋_GB2312" w:eastAsia="仿宋_GB2312"/>
              </w:rPr>
              <w:t>在交通规划、交通安全方面在全国处于领先水平，在公路安全隐患排查治理方面具有丰富的实战经验</w:t>
            </w:r>
            <w:r>
              <w:rPr>
                <w:rFonts w:ascii="仿宋_GB2312" w:hAnsi="仿宋_GB2312" w:cs="仿宋_GB2312" w:eastAsia="仿宋_GB2312"/>
              </w:rPr>
              <w:t>，承担了省内外大量的公路安全评估项目及高速公路交通安全隐患调查治理试点工作，设计完成了大量事故多发路段隐患排查与</w:t>
            </w:r>
            <w:r>
              <w:rPr>
                <w:rFonts w:ascii="仿宋_GB2312" w:hAnsi="仿宋_GB2312" w:cs="仿宋_GB2312" w:eastAsia="仿宋_GB2312"/>
              </w:rPr>
              <w:t>整治工作。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 质量标准：符合国家及行业有关现行规范、标准的要求验收合格条件。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合同签订后，乙方应向甲方出具书面付款通知（注明开户行及账户信息）以及符合国家财税规定的增值税发票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乙方按照合同要求完成公路隐患点段现场验收、网上审核及隐患排查报告编制工作，经甲方验收合格后，乙方应向甲方出具书面付款通知（注明开户行及账户信息）以及符合国家财税规定的增值税发票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乙方完成《2026年度公路安全隐患突出路口路段治理攻坚项目评估报告》编制及宣贯工作后，乙方应向甲方出具书面付款通知（注明开户行及账户信息）以及符合国家财税规定的增值税发票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 2.未按合同或招标文件要求提供服务，质量不能满足采购方技术要求，甲方有权终止合同，甚至对乙方违约行为进行追究。 3.乙方由于自身过错，延误按本合同规定的服务成果交付时间，每延误一天，应减收本合同总额的2‰作为延误违约金。二、合同争议和解决办法 因本合同产生纠纷，如协商无法解决，双方均有权向有管辖权的人民法院提起诉讼。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3.5.1特别注意：（1）投标保证金退还： A．未中标供应商：自中标通知书发出之日起5个工作日内退还未中标供应商的投标保证金，无需亲自前来办理； B.中标供应商：自采购合同签订之日起5个工作日内退还中标供应商的投标保证金。（须携带或邮寄合同原件或合同复印件（加盖单位鲜章）各一份，同时将合同扫描件发送至联系人邮箱），但因中标供应商自身原因导致无法及时退还的除外。 （2）有下列情况之一的，采购代理机构不予退还其交纳的投标保证金；情节严重的，由财政部门将其列入不良行为记录名单，在一至三年内禁止参加政府采购活动，并予以通报； A.开标后在招标文件规定的投标有效期间，投标供应商撤回其所投投标文件的； B.中标供应商无正当理由不与采购人签订合同的； C.中标供应商将中标项目转让给他人，或者在投标文件中未说明，且未经采购人同意，将中标项目分包给他人的； D.中标供应商拒绝履行合同义务的； E.中标供应商未按时缴付中标服务费的； F.由于中标供应商的原因导致中标无效的。 3.5.2其他要求 （1）供应商需要在线提交所有通过电子化交易平台实施的政府采购项目的投标文件，同时，线下提交纸质投标文件正本壹份、副本贰份。若电子投标文件与纸质投标文件不一致的，以电子投标文件为准。 （2）投标文件，正、副本分别各自装订成册密封。在封口处加盖供应商公章。 （3）线下投标文件递交截止时间与线上开评标时间一致。 （4）纸质投标文件可邮寄递交，应于递交投标文件截止时间前邮寄到陕西省西安市经济技术开发区凤城七路长和国际A座26楼02-01室。 （5）如提交保函，建议至少提前一个工作日将保函正本送至采购代理机构，如提供电子保函，应将电子保函发送至代理机构指定邮箱1945125868@qq.com。（6）《陕西省政府采购评审专家管理实施办法》（陕财办采〔2018〕20号）已废止，按现行有效文件为《陕西省政府采购评审专家管理实施办法》（陕财办采〔2026〕7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提供2024年度或者2025年度的财务审计报告或开标前六个月内其基本存款账户开户银行出具的资信证明（附开户许可证或开户备案证明或基本账户信息）；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提供递交投标文件截止之日前一年内任意一个月的依法缴纳税收的完税证明，依法免税的单位应提供相关证明材料；</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（1）投标报价表填写符合要求；（2）投标 报价未超出采购预算（招标文件有最高限价的，报价未超过最高限价）。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服务方案 标的清单 投标人资格证明文件.docx 投标文件封面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服务方案 投标文件封面 技术指标偏差表.docx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 服务方案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服务方案 投标文件封面 技术指标偏差表.docx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投标函 中小企业声明函 残疾人福利性单位声明函 服务方案 标的清单 投标人资格证明文件.docx 投标文件封面 投标人承诺书.docx 技术指标偏差表.docx 监狱企业的证明文件 商务条款响应说明.docx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项目需求分析与理解</w:t>
            </w:r>
          </w:p>
        </w:tc>
        <w:tc>
          <w:tcPr>
            <w:tcW w:type="dxa" w:w="2492"/>
          </w:tcPr>
          <w:p>
            <w:pPr>
              <w:pStyle w:val="null3"/>
            </w:pPr>
            <w:r>
              <w:rPr>
                <w:rFonts w:ascii="仿宋_GB2312" w:hAnsi="仿宋_GB2312" w:cs="仿宋_GB2312" w:eastAsia="仿宋_GB2312"/>
              </w:rPr>
              <w:t>供应商对该项目环境、需求和服务要求等内容目标明确，理解到位，各项保障措施到位，考虑周全，需求理解透彻，明确项目的建设要求和目标得5分；供应商对该项目环境、需求和服务要求等内容目标较为明确，各项保障措施到位，需求理解较透彻得3分；供应商对用户需求、项目建设要求、目标等方面体现不充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需提供科学、完整、合理、规范的服务方案。方案内容完整，分析全面。总体服务方案设计科学合理、描述条理清晰，可行性、安全性强，完全满足采购需求得15分；方案内容较完整，分析较全面、总体服务方案设计较合理、描述条理较清晰，可行性较强，满足采购需求得11分；方案内容一般，可行性一般，基本满足采购需求得7分；方案内容不全，部分满足采购需求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总体思路清晰、合理、可行性强得10分；质量保证措施总体思路较清晰、合理，可行性较强得7分；质量保证措施总体思路基本清晰、合理，可行性一般得3分；质量保证措施总体思路部分清晰，内容空泛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内容总体思路清晰、合理、可行性强得5分；内容总体思路较清晰、合理、可行得3分；总体思路基本清晰、基本可行得1分。未提供不得分。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项目负责人具备相关专业高级职称得3分；提供相关证明材料；未提供不得分。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拟投入项目团队（含项目负责人）不少于20人； 1、拟投入项目团队（含项目负责人）中具备相关专业高级职称人员占比不低于30%得3分；具备相关专业高级职称人员占比不低于20%得1分；提供相关证明材料；未提供不得分。 2、拟投入项目团队（含项目负责人）中具备相关专业中级职称人员占比不低于30%得2分；具备相关专业中级职称人员占比不低于20%得1分；提供相关证明材料；未提供不得分。 注：同一人高级职称与中级职称不重复提供，拟投入项目团队（含项目负责人）少于等于20人不得分。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拟投入项目团队人员分工明确、经验丰富，完全满足采购要求得7分；分工较明确、经验较丰富，满足采购要求得4分；分工基本明确、经验一般，基本满足采购要求得2分；分工部分明确、部分满足采购要求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根据项目工作特点提供完善的的应急预案。 应急预案内容完善、合理可行、针对性强的得5分；应急预案内容较完善、较合理可行、针对性较强的得3分；应急预案内容基本完善、合理、针对性一般的得1分；未提供不得分。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售后服务方案满足采购方要求，内容合理、针对性强得10分；内容较合理、针对性较强得7分；内容基本合理、针对性一般得3分；内容部分合理得1分；未提供不得分。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供应商应承诺不得泄漏采购单位一切敏感信息，包括但不限于技术情报、技术资料、商业秘密和商业信息等，承诺合理，内容全面得4分；承诺较合理，内容较全面得2分；未提供不得分。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供应商需提供培训方案。培训方案完整合理、可行性强得5分；培训方案较完整合理、可行得3分；培训方案基本完整合理、可行性一般得1分；未提供不得分。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提供针对本项目的服务承诺。服务承诺明确、合理得3分；服务承诺简单、基本合理得1分；未提供不得分。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针对本项目提出有利于采购人的建议。合理化建议可行性强得3分；合理化建议可行性一般得1分；未提供不得分。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供应商提供2021年1月1日至今（以合同签订时间为准）类似业绩，以合同协议书为准，每份计2分，最高计10分。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